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tillium Web" w:cs="Titillium Web" w:eastAsia="Titillium Web" w:hAnsi="Titillium We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40" w:lineRule="auto"/>
        <w:jc w:val="center"/>
        <w:rPr>
          <w:rFonts w:ascii="Titillium Web" w:cs="Titillium Web" w:eastAsia="Titillium Web" w:hAnsi="Titillium Web"/>
          <w:b w:val="1"/>
          <w:sz w:val="36"/>
          <w:szCs w:val="36"/>
        </w:rPr>
      </w:pPr>
      <w:r w:rsidDel="00000000" w:rsidR="00000000" w:rsidRPr="00000000">
        <w:rPr>
          <w:rFonts w:ascii="Titillium Web" w:cs="Titillium Web" w:eastAsia="Titillium Web" w:hAnsi="Titillium Web"/>
          <w:b w:val="1"/>
          <w:sz w:val="33"/>
          <w:szCs w:val="33"/>
          <w:rtl w:val="0"/>
        </w:rPr>
        <w:t xml:space="preserve"> VISITE DE APALA à L'AGRONAUTE</w:t>
      </w:r>
      <w:r w:rsidDel="00000000" w:rsidR="00000000" w:rsidRPr="00000000">
        <w:rPr>
          <w:rtl w:val="0"/>
        </w:rPr>
      </w:r>
    </w:p>
    <w:tbl>
      <w:tblPr>
        <w:tblStyle w:val="Table1"/>
        <w:tblW w:w="952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1575"/>
        <w:gridCol w:w="3240"/>
        <w:gridCol w:w="4710"/>
        <w:tblGridChange w:id="0">
          <w:tblGrid>
            <w:gridCol w:w="1575"/>
            <w:gridCol w:w="3240"/>
            <w:gridCol w:w="4710"/>
          </w:tblGrid>
        </w:tblGridChange>
      </w:tblGrid>
      <w:tr>
        <w:trPr>
          <w:cantSplit w:val="0"/>
          <w:trHeight w:val="63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Titillium Web" w:cs="Titillium Web" w:eastAsia="Titillium Web" w:hAnsi="Titillium Web"/>
              </w:rPr>
            </w:pPr>
            <w:r w:rsidDel="00000000" w:rsidR="00000000" w:rsidRPr="00000000">
              <w:rPr>
                <w:rFonts w:ascii="Titillium Web" w:cs="Titillium Web" w:eastAsia="Titillium Web" w:hAnsi="Titillium Web"/>
                <w:rtl w:val="0"/>
              </w:rPr>
              <w:t xml:space="preserve">Date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jc w:val="center"/>
              <w:rPr>
                <w:rFonts w:ascii="Titillium Web" w:cs="Titillium Web" w:eastAsia="Titillium Web" w:hAnsi="Titillium Web"/>
              </w:rPr>
            </w:pPr>
            <w:r w:rsidDel="00000000" w:rsidR="00000000" w:rsidRPr="00000000">
              <w:rPr>
                <w:rFonts w:ascii="Titillium Web" w:cs="Titillium Web" w:eastAsia="Titillium Web" w:hAnsi="Titillium Web"/>
                <w:rtl w:val="0"/>
              </w:rPr>
              <w:t xml:space="preserve">Lieu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jc w:val="center"/>
              <w:rPr>
                <w:rFonts w:ascii="Titillium Web" w:cs="Titillium Web" w:eastAsia="Titillium Web" w:hAnsi="Titillium Web"/>
              </w:rPr>
            </w:pPr>
            <w:r w:rsidDel="00000000" w:rsidR="00000000" w:rsidRPr="00000000">
              <w:rPr>
                <w:rFonts w:ascii="Titillium Web" w:cs="Titillium Web" w:eastAsia="Titillium Web" w:hAnsi="Titillium Web"/>
                <w:rtl w:val="0"/>
              </w:rPr>
              <w:t xml:space="preserve">Intervenant</w:t>
            </w:r>
          </w:p>
        </w:tc>
      </w:tr>
      <w:tr>
        <w:trPr>
          <w:cantSplit w:val="0"/>
          <w:trHeight w:val="63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jc w:val="center"/>
              <w:rPr>
                <w:rFonts w:ascii="Titillium Web" w:cs="Titillium Web" w:eastAsia="Titillium Web" w:hAnsi="Titillium Web"/>
              </w:rPr>
            </w:pPr>
            <w:r w:rsidDel="00000000" w:rsidR="00000000" w:rsidRPr="00000000">
              <w:rPr>
                <w:rFonts w:ascii="Titillium Web" w:cs="Titillium Web" w:eastAsia="Titillium Web" w:hAnsi="Titillium Web"/>
                <w:rtl w:val="0"/>
              </w:rPr>
              <w:t xml:space="preserve">05/09/2022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jc w:val="center"/>
              <w:rPr>
                <w:rFonts w:ascii="Titillium Web" w:cs="Titillium Web" w:eastAsia="Titillium Web" w:hAnsi="Titillium Web"/>
              </w:rPr>
            </w:pPr>
            <w:r w:rsidDel="00000000" w:rsidR="00000000" w:rsidRPr="00000000">
              <w:rPr>
                <w:rFonts w:ascii="Titillium Web" w:cs="Titillium Web" w:eastAsia="Titillium Web" w:hAnsi="Titillium Web"/>
                <w:rtl w:val="0"/>
              </w:rPr>
              <w:t xml:space="preserve">L’Agronaute, Nantes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jc w:val="center"/>
              <w:rPr>
                <w:rFonts w:ascii="Titillium Web" w:cs="Titillium Web" w:eastAsia="Titillium Web" w:hAnsi="Titillium Web"/>
              </w:rPr>
            </w:pPr>
            <w:r w:rsidDel="00000000" w:rsidR="00000000" w:rsidRPr="00000000">
              <w:rPr>
                <w:rFonts w:ascii="Titillium Web" w:cs="Titillium Web" w:eastAsia="Titillium Web" w:hAnsi="Titillium Web"/>
                <w:rtl w:val="0"/>
              </w:rPr>
              <w:t xml:space="preserve">Jonathan Guéguen (coordinateur et fondateur d’APALA, 2013)</w:t>
            </w:r>
          </w:p>
        </w:tc>
      </w:tr>
    </w:tbl>
    <w:p w:rsidR="00000000" w:rsidDel="00000000" w:rsidP="00000000" w:rsidRDefault="00000000" w:rsidRPr="00000000" w14:paraId="00000009">
      <w:pPr>
        <w:pBdr>
          <w:left w:color="f1c232" w:space="2" w:sz="24" w:val="single"/>
        </w:pBdr>
        <w:spacing w:after="240" w:before="240" w:lineRule="auto"/>
        <w:rPr>
          <w:rFonts w:ascii="Titillium Web" w:cs="Titillium Web" w:eastAsia="Titillium Web" w:hAnsi="Titillium Web"/>
          <w:b w:val="1"/>
        </w:rPr>
      </w:pPr>
      <w:r w:rsidDel="00000000" w:rsidR="00000000" w:rsidRPr="00000000">
        <w:rPr>
          <w:rFonts w:ascii="Titillium Web" w:cs="Titillium Web" w:eastAsia="Titillium Web" w:hAnsi="Titillium Web"/>
          <w:b w:val="1"/>
          <w:rtl w:val="0"/>
        </w:rPr>
        <w:t xml:space="preserve">Sommaire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before="240" w:lineRule="auto"/>
        <w:ind w:left="720" w:hanging="360"/>
        <w:rPr>
          <w:rFonts w:ascii="Titillium Web" w:cs="Titillium Web" w:eastAsia="Titillium Web" w:hAnsi="Titillium Web"/>
          <w:b w:val="1"/>
        </w:rPr>
      </w:pPr>
      <w:r w:rsidDel="00000000" w:rsidR="00000000" w:rsidRPr="00000000">
        <w:rPr>
          <w:rFonts w:ascii="Titillium Web" w:cs="Titillium Web" w:eastAsia="Titillium Web" w:hAnsi="Titillium Web"/>
          <w:b w:val="1"/>
          <w:rtl w:val="0"/>
        </w:rPr>
        <w:t xml:space="preserve">Le lieu : l’Agronaute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rFonts w:ascii="Titillium Web" w:cs="Titillium Web" w:eastAsia="Titillium Web" w:hAnsi="Titillium Web"/>
          <w:b w:val="1"/>
        </w:rPr>
      </w:pPr>
      <w:r w:rsidDel="00000000" w:rsidR="00000000" w:rsidRPr="00000000">
        <w:rPr>
          <w:rFonts w:ascii="Titillium Web" w:cs="Titillium Web" w:eastAsia="Titillium Web" w:hAnsi="Titillium Web"/>
          <w:b w:val="1"/>
          <w:rtl w:val="0"/>
        </w:rPr>
        <w:t xml:space="preserve">APALA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jc w:val="both"/>
        <w:rPr>
          <w:rFonts w:ascii="Titillium Web" w:cs="Titillium Web" w:eastAsia="Titillium Web" w:hAnsi="Titillium Web"/>
          <w:b w:val="1"/>
        </w:rPr>
      </w:pPr>
      <w:r w:rsidDel="00000000" w:rsidR="00000000" w:rsidRPr="00000000">
        <w:rPr>
          <w:rFonts w:ascii="Titillium Web" w:cs="Titillium Web" w:eastAsia="Titillium Web" w:hAnsi="Titillium Web"/>
          <w:b w:val="1"/>
          <w:rtl w:val="0"/>
        </w:rPr>
        <w:t xml:space="preserve">Axe 1 : énergie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jc w:val="both"/>
        <w:rPr>
          <w:rFonts w:ascii="Titillium Web" w:cs="Titillium Web" w:eastAsia="Titillium Web" w:hAnsi="Titillium Web"/>
          <w:b w:val="1"/>
        </w:rPr>
      </w:pPr>
      <w:r w:rsidDel="00000000" w:rsidR="00000000" w:rsidRPr="00000000">
        <w:rPr>
          <w:rFonts w:ascii="Titillium Web" w:cs="Titillium Web" w:eastAsia="Titillium Web" w:hAnsi="Titillium Web"/>
          <w:b w:val="1"/>
          <w:rtl w:val="0"/>
        </w:rPr>
        <w:t xml:space="preserve">Axe 2 : alimentation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after="240" w:before="0" w:beforeAutospacing="0" w:lineRule="auto"/>
        <w:ind w:left="1440" w:hanging="360"/>
        <w:rPr>
          <w:rFonts w:ascii="Titillium Web" w:cs="Titillium Web" w:eastAsia="Titillium Web" w:hAnsi="Titillium Web"/>
          <w:b w:val="1"/>
        </w:rPr>
      </w:pPr>
      <w:r w:rsidDel="00000000" w:rsidR="00000000" w:rsidRPr="00000000">
        <w:rPr>
          <w:rFonts w:ascii="Titillium Web" w:cs="Titillium Web" w:eastAsia="Titillium Web" w:hAnsi="Titillium Web"/>
          <w:b w:val="1"/>
          <w:rtl w:val="0"/>
        </w:rPr>
        <w:t xml:space="preserve">Axe 3 : mobilité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Titillium Web" w:cs="Titillium Web" w:eastAsia="Titillium Web" w:hAnsi="Titillium We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1"/>
        <w:numPr>
          <w:ilvl w:val="0"/>
          <w:numId w:val="8"/>
        </w:numPr>
        <w:spacing w:after="240" w:before="240" w:lineRule="auto"/>
        <w:ind w:left="720" w:hanging="360"/>
        <w:rPr>
          <w:rFonts w:ascii="Titillium Web" w:cs="Titillium Web" w:eastAsia="Titillium Web" w:hAnsi="Titillium Web"/>
          <w:b w:val="1"/>
          <w:u w:val="none"/>
        </w:rPr>
      </w:pPr>
      <w:bookmarkStart w:colFirst="0" w:colLast="0" w:name="_rj3rar8wrwqu" w:id="0"/>
      <w:bookmarkEnd w:id="0"/>
      <w:r w:rsidDel="00000000" w:rsidR="00000000" w:rsidRPr="00000000">
        <w:rPr>
          <w:rFonts w:ascii="Titillium Web" w:cs="Titillium Web" w:eastAsia="Titillium Web" w:hAnsi="Titillium Web"/>
          <w:b w:val="1"/>
          <w:rtl w:val="0"/>
        </w:rPr>
        <w:t xml:space="preserve">Le lieu : </w:t>
      </w:r>
      <w:r w:rsidDel="00000000" w:rsidR="00000000" w:rsidRPr="00000000">
        <w:rPr>
          <w:rFonts w:ascii="Titillium Web" w:cs="Titillium Web" w:eastAsia="Titillium Web" w:hAnsi="Titillium Web"/>
          <w:b w:val="1"/>
          <w:rtl w:val="0"/>
        </w:rPr>
        <w:t xml:space="preserve">l'agronaute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L’agronaute</w:t>
      </w: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 est un tiers-lieu nantais situé à l’ancien MiN, rue du Sénégal. C’est l’association La Sauge (pépinière urbaine) qui a créé le lieu en 2019. Les locaux sont partagées entre différentes associations, dont:</w:t>
      </w:r>
    </w:p>
    <w:p w:rsidR="00000000" w:rsidDel="00000000" w:rsidP="00000000" w:rsidRDefault="00000000" w:rsidRPr="00000000" w14:paraId="00000012">
      <w:pPr>
        <w:numPr>
          <w:ilvl w:val="0"/>
          <w:numId w:val="9"/>
        </w:numPr>
        <w:spacing w:after="0" w:afterAutospacing="0" w:before="240" w:lineRule="auto"/>
        <w:ind w:left="720" w:hanging="360"/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La Sauge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La Tricyclerie ( compost urbain)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Gueule de bois (dont atelier Mieux Mais Moins)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spacing w:after="240" w:before="0" w:beforeAutospacing="0" w:lineRule="auto"/>
        <w:ind w:left="720" w:hanging="360"/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Apala (176 m², dont un bureau auto construit avec un traceur, un centre de calcul, solidworks...)</w:t>
      </w:r>
    </w:p>
    <w:p w:rsidR="00000000" w:rsidDel="00000000" w:rsidP="00000000" w:rsidRDefault="00000000" w:rsidRPr="00000000" w14:paraId="00000016">
      <w:pPr>
        <w:spacing w:after="240" w:before="240" w:lineRule="auto"/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Il y a également des espaces communs (cuisine etc ..)</w:t>
      </w:r>
    </w:p>
    <w:p w:rsidR="00000000" w:rsidDel="00000000" w:rsidP="00000000" w:rsidRDefault="00000000" w:rsidRPr="00000000" w14:paraId="00000017">
      <w:pPr>
        <w:spacing w:after="240" w:before="240" w:lineRule="auto"/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1"/>
        <w:numPr>
          <w:ilvl w:val="0"/>
          <w:numId w:val="8"/>
        </w:numPr>
        <w:spacing w:after="240" w:before="240" w:lineRule="auto"/>
        <w:ind w:left="720" w:hanging="360"/>
        <w:rPr>
          <w:b w:val="1"/>
        </w:rPr>
      </w:pPr>
      <w:bookmarkStart w:colFirst="0" w:colLast="0" w:name="_atslm995ksob" w:id="1"/>
      <w:bookmarkEnd w:id="1"/>
      <w:r w:rsidDel="00000000" w:rsidR="00000000" w:rsidRPr="00000000">
        <w:rPr>
          <w:rFonts w:ascii="Titillium Web" w:cs="Titillium Web" w:eastAsia="Titillium Web" w:hAnsi="Titillium Web"/>
          <w:b w:val="1"/>
          <w:rtl w:val="0"/>
        </w:rPr>
        <w:t xml:space="preserve">APALA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jc w:val="both"/>
        <w:rPr>
          <w:rFonts w:ascii="Titillium Web" w:cs="Titillium Web" w:eastAsia="Titillium Web" w:hAnsi="Titillium Web"/>
        </w:rPr>
      </w:pPr>
      <w:hyperlink r:id="rId6">
        <w:r w:rsidDel="00000000" w:rsidR="00000000" w:rsidRPr="00000000">
          <w:rPr>
            <w:rFonts w:ascii="Titillium Web" w:cs="Titillium Web" w:eastAsia="Titillium Web" w:hAnsi="Titillium Web"/>
            <w:color w:val="1155cc"/>
            <w:u w:val="single"/>
            <w:rtl w:val="0"/>
          </w:rPr>
          <w:t xml:space="preserve">APALA </w:t>
        </w:r>
      </w:hyperlink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se définit comme une </w:t>
      </w: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association écologiste à but non lucratif, qui p</w:t>
      </w: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ar une </w:t>
      </w: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approche scientifique</w:t>
      </w: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 et avec </w:t>
      </w: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une démarche low-tech</w:t>
      </w: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, apporte des </w:t>
      </w: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solutions techniques</w:t>
      </w: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 aux </w:t>
      </w: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problématiques de soutenabilité</w:t>
      </w: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 de nos modes de vie.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Rule="auto"/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APALA se confronte au problème que la low-tech implique plus de responsabilisation de l'utilisateur dans une société où la tendance est à plus de normalisation et d'autonomisation. C’est pourquoi elle cherche dans chacun de ses secteurs d’activités de dépasser ce problème.</w:t>
      </w:r>
    </w:p>
    <w:p w:rsidR="00000000" w:rsidDel="00000000" w:rsidP="00000000" w:rsidRDefault="00000000" w:rsidRPr="00000000" w14:paraId="0000001B">
      <w:pPr>
        <w:spacing w:after="240" w:before="240" w:lineRule="auto"/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Les activités de la structure se sont développées selon les principaux secteurs émetteurs GES (chauffage, alimentation, mobilité), et selon 3 axes.</w:t>
      </w:r>
    </w:p>
    <w:p w:rsidR="00000000" w:rsidDel="00000000" w:rsidP="00000000" w:rsidRDefault="00000000" w:rsidRPr="00000000" w14:paraId="0000001C">
      <w:pPr>
        <w:spacing w:after="240" w:before="240" w:lineRule="auto"/>
        <w:ind w:left="0" w:firstLine="0"/>
        <w:jc w:val="both"/>
        <w:rPr>
          <w:rFonts w:ascii="Titillium Web" w:cs="Titillium Web" w:eastAsia="Titillium Web" w:hAnsi="Titillium Web"/>
          <w:b w:val="1"/>
        </w:rPr>
      </w:pPr>
      <w:r w:rsidDel="00000000" w:rsidR="00000000" w:rsidRPr="00000000">
        <w:rPr>
          <w:rFonts w:ascii="Titillium Web" w:cs="Titillium Web" w:eastAsia="Titillium Web" w:hAnsi="Titillium Web"/>
          <w:b w:val="1"/>
          <w:rtl w:val="0"/>
        </w:rPr>
        <w:t xml:space="preserve">- Axe 1: Energie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40" w:before="240" w:lineRule="auto"/>
        <w:ind w:left="720" w:hanging="360"/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Poêle de masse </w:t>
      </w:r>
    </w:p>
    <w:p w:rsidR="00000000" w:rsidDel="00000000" w:rsidP="00000000" w:rsidRDefault="00000000" w:rsidRPr="00000000" w14:paraId="0000001E">
      <w:pPr>
        <w:spacing w:after="240" w:before="240" w:lineRule="auto"/>
        <w:jc w:val="both"/>
        <w:rPr>
          <w:rFonts w:ascii="Titillium Web" w:cs="Titillium Web" w:eastAsia="Titillium Web" w:hAnsi="Titillium Web"/>
          <w:i w:val="1"/>
        </w:rPr>
      </w:pPr>
      <w:r w:rsidDel="00000000" w:rsidR="00000000" w:rsidRPr="00000000">
        <w:rPr>
          <w:rFonts w:ascii="Titillium Web" w:cs="Titillium Web" w:eastAsia="Titillium Web" w:hAnsi="Titillium Web"/>
          <w:i w:val="1"/>
          <w:rtl w:val="0"/>
        </w:rPr>
        <w:t xml:space="preserve">C’est le projet initial de APALA: créer un poèle de masse en terre cru, le plus performant possible (d’un point de vue de la combustion et de la restitution de la chaleur). En 2023, 5 poêles ont déjà été installées. Une difficulté majeure rencontrée pendant le projet : gagner en expertise et certification (CSTB, Centre scientifique et technique du bâtiment), et chercher des financements et doctorants pour faire des bancs d'essai/calibrage.</w:t>
      </w:r>
    </w:p>
    <w:p w:rsidR="00000000" w:rsidDel="00000000" w:rsidP="00000000" w:rsidRDefault="00000000" w:rsidRPr="00000000" w14:paraId="0000001F">
      <w:pPr>
        <w:numPr>
          <w:ilvl w:val="0"/>
          <w:numId w:val="7"/>
        </w:numPr>
        <w:spacing w:after="240" w:before="240" w:lineRule="auto"/>
        <w:ind w:left="720" w:hanging="360"/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Enerlog</w:t>
      </w:r>
    </w:p>
    <w:p w:rsidR="00000000" w:rsidDel="00000000" w:rsidP="00000000" w:rsidRDefault="00000000" w:rsidRPr="00000000" w14:paraId="00000020">
      <w:pPr>
        <w:spacing w:after="240" w:before="240" w:lineRule="auto"/>
        <w:ind w:left="0" w:firstLine="0"/>
        <w:jc w:val="both"/>
        <w:rPr>
          <w:rFonts w:ascii="Titillium Web" w:cs="Titillium Web" w:eastAsia="Titillium Web" w:hAnsi="Titillium Web"/>
          <w:i w:val="1"/>
        </w:rPr>
      </w:pPr>
      <w:r w:rsidDel="00000000" w:rsidR="00000000" w:rsidRPr="00000000">
        <w:rPr>
          <w:rFonts w:ascii="Titillium Web" w:cs="Titillium Web" w:eastAsia="Titillium Web" w:hAnsi="Titillium Web"/>
          <w:i w:val="1"/>
          <w:rtl w:val="0"/>
        </w:rPr>
        <w:t xml:space="preserve">C’est une entreprise, son but est d’améliorer le principe de capteur à air chaud en alternant simulation fluide et prototypes. C’est un chauffage low-tech avec des plaques d'ardoise absorbant le rayonnement solaire, puis des serpentin derrière avec VMC pour faire circuler l'air dans des murs actifs.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spacing w:after="240" w:before="240" w:lineRule="auto"/>
        <w:ind w:left="720" w:hanging="360"/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La belle brique </w:t>
      </w:r>
    </w:p>
    <w:p w:rsidR="00000000" w:rsidDel="00000000" w:rsidP="00000000" w:rsidRDefault="00000000" w:rsidRPr="00000000" w14:paraId="00000022">
      <w:pPr>
        <w:spacing w:after="240" w:before="240" w:lineRule="auto"/>
        <w:jc w:val="both"/>
        <w:rPr>
          <w:rFonts w:ascii="Titillium Web" w:cs="Titillium Web" w:eastAsia="Titillium Web" w:hAnsi="Titillium Web"/>
          <w:i w:val="1"/>
        </w:rPr>
      </w:pPr>
      <w:r w:rsidDel="00000000" w:rsidR="00000000" w:rsidRPr="00000000">
        <w:rPr>
          <w:rFonts w:ascii="Titillium Web" w:cs="Titillium Web" w:eastAsia="Titillium Web" w:hAnsi="Titillium Web"/>
          <w:i w:val="1"/>
          <w:rtl w:val="0"/>
        </w:rPr>
        <w:t xml:space="preserve">Terre crue compressée pour faire des briques, bonne inertie thermique, matériaux biosourcé sans empreinte carbone, répond à un besoin du poêle de masse. Les briques en terre cuite  sont approvisionnées par Produit Réfractaire du SO.</w:t>
      </w:r>
    </w:p>
    <w:p w:rsidR="00000000" w:rsidDel="00000000" w:rsidP="00000000" w:rsidRDefault="00000000" w:rsidRPr="00000000" w14:paraId="00000023">
      <w:pPr>
        <w:spacing w:after="240" w:before="240" w:lineRule="auto"/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40" w:before="240" w:lineRule="auto"/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Rule="auto"/>
        <w:jc w:val="both"/>
        <w:rPr>
          <w:rFonts w:ascii="Titillium Web" w:cs="Titillium Web" w:eastAsia="Titillium Web" w:hAnsi="Titillium Web"/>
          <w:b w:val="1"/>
        </w:rPr>
      </w:pPr>
      <w:r w:rsidDel="00000000" w:rsidR="00000000" w:rsidRPr="00000000">
        <w:rPr>
          <w:rFonts w:ascii="Titillium Web" w:cs="Titillium Web" w:eastAsia="Titillium Web" w:hAnsi="Titillium Web"/>
          <w:b w:val="1"/>
          <w:rtl w:val="0"/>
        </w:rPr>
        <w:t xml:space="preserve">- Axe 2: Alimentation</w:t>
      </w:r>
    </w:p>
    <w:p w:rsidR="00000000" w:rsidDel="00000000" w:rsidP="00000000" w:rsidRDefault="00000000" w:rsidRPr="00000000" w14:paraId="00000026">
      <w:pPr>
        <w:numPr>
          <w:ilvl w:val="0"/>
          <w:numId w:val="6"/>
        </w:numPr>
        <w:spacing w:after="240" w:before="240" w:lineRule="auto"/>
        <w:ind w:left="720" w:hanging="360"/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Alimentation soutenable </w:t>
      </w:r>
    </w:p>
    <w:p w:rsidR="00000000" w:rsidDel="00000000" w:rsidP="00000000" w:rsidRDefault="00000000" w:rsidRPr="00000000" w14:paraId="00000027">
      <w:pPr>
        <w:spacing w:after="240" w:before="240" w:lineRule="auto"/>
        <w:ind w:left="0" w:firstLine="0"/>
        <w:jc w:val="both"/>
        <w:rPr>
          <w:rFonts w:ascii="Titillium Web" w:cs="Titillium Web" w:eastAsia="Titillium Web" w:hAnsi="Titillium Web"/>
          <w:i w:val="1"/>
        </w:rPr>
      </w:pPr>
      <w:r w:rsidDel="00000000" w:rsidR="00000000" w:rsidRPr="00000000">
        <w:rPr>
          <w:rFonts w:ascii="Titillium Web" w:cs="Titillium Web" w:eastAsia="Titillium Web" w:hAnsi="Titillium Web"/>
          <w:i w:val="1"/>
          <w:rtl w:val="0"/>
        </w:rPr>
        <w:t xml:space="preserve">Recherche, expérimentation et sensibilisation. APALA produit et vend du fromage végétal, organise des buffets végétariens (pour les élus par exemple). 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spacing w:after="240" w:before="240" w:lineRule="auto"/>
        <w:ind w:left="720" w:hanging="360"/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Dôme</w:t>
      </w: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 pépinière</w:t>
      </w:r>
    </w:p>
    <w:p w:rsidR="00000000" w:rsidDel="00000000" w:rsidP="00000000" w:rsidRDefault="00000000" w:rsidRPr="00000000" w14:paraId="00000029">
      <w:pPr>
        <w:spacing w:after="240" w:before="240" w:lineRule="auto"/>
        <w:ind w:left="0" w:firstLine="0"/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i w:val="1"/>
          <w:rtl w:val="0"/>
        </w:rPr>
        <w:t xml:space="preserve">APALA construit des dômes pépinière. Un est actuellement sur le campus de Centrale Nantes.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40" w:before="240" w:lineRule="auto"/>
        <w:ind w:left="0" w:firstLine="0"/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>
          <w:rFonts w:ascii="Titillium Web" w:cs="Titillium Web" w:eastAsia="Titillium Web" w:hAnsi="Titillium Web"/>
          <w:b w:val="1"/>
        </w:rPr>
      </w:pPr>
      <w:r w:rsidDel="00000000" w:rsidR="00000000" w:rsidRPr="00000000">
        <w:rPr>
          <w:rFonts w:ascii="Titillium Web" w:cs="Titillium Web" w:eastAsia="Titillium Web" w:hAnsi="Titillium Web"/>
          <w:b w:val="1"/>
          <w:rtl w:val="0"/>
        </w:rPr>
        <w:t xml:space="preserve">- Axe 3: Mobilité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240" w:before="240" w:lineRule="auto"/>
        <w:ind w:left="720" w:hanging="360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Velow club </w:t>
      </w:r>
    </w:p>
    <w:p w:rsidR="00000000" w:rsidDel="00000000" w:rsidP="00000000" w:rsidRDefault="00000000" w:rsidRPr="00000000" w14:paraId="0000002D">
      <w:pPr>
        <w:spacing w:after="240" w:before="240" w:lineRule="auto"/>
        <w:ind w:left="0" w:firstLine="0"/>
        <w:rPr>
          <w:rFonts w:ascii="Titillium Web" w:cs="Titillium Web" w:eastAsia="Titillium Web" w:hAnsi="Titillium Web"/>
          <w:b w:val="1"/>
          <w:sz w:val="30"/>
          <w:szCs w:val="30"/>
        </w:rPr>
      </w:pPr>
      <w:r w:rsidDel="00000000" w:rsidR="00000000" w:rsidRPr="00000000">
        <w:rPr>
          <w:rFonts w:ascii="Titillium Web" w:cs="Titillium Web" w:eastAsia="Titillium Web" w:hAnsi="Titillium Web"/>
          <w:i w:val="1"/>
          <w:rtl w:val="0"/>
        </w:rPr>
        <w:t xml:space="preserve">Atelier réparation vélo, location, réparation.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40" w:before="240" w:lineRule="auto"/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Enfin, d</w:t>
      </w: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epuis peu, APALA est aussi très tourné vers le domaine universitaire:</w:t>
      </w:r>
    </w:p>
    <w:p w:rsidR="00000000" w:rsidDel="00000000" w:rsidP="00000000" w:rsidRDefault="00000000" w:rsidRPr="00000000" w14:paraId="0000002F">
      <w:pPr>
        <w:spacing w:after="240" w:before="240" w:lineRule="auto"/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L’association est porteuse de plusieurs projets en partenariat avec différentes universités ou écoles. On peut citer le travail sur des </w:t>
      </w: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Indicateurs de soutenabilité (échelle pour comparer 2 solutions par exemple) ou encore un méta outil de recherche scientifique (en partenariat avec l’ENS).</w:t>
      </w:r>
    </w:p>
    <w:p w:rsidR="00000000" w:rsidDel="00000000" w:rsidP="00000000" w:rsidRDefault="00000000" w:rsidRPr="00000000" w14:paraId="00000030">
      <w:pPr>
        <w:spacing w:after="240" w:before="240" w:lineRule="auto"/>
        <w:rPr>
          <w:rFonts w:ascii="Titillium Web" w:cs="Titillium Web" w:eastAsia="Titillium Web" w:hAnsi="Titillium Web"/>
          <w:b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Rule="auto"/>
        <w:rPr>
          <w:rFonts w:ascii="Titillium Web" w:cs="Titillium Web" w:eastAsia="Titillium Web" w:hAnsi="Titillium We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40" w:before="240" w:lineRule="auto"/>
        <w:rPr>
          <w:rFonts w:ascii="Titillium Web" w:cs="Titillium Web" w:eastAsia="Titillium Web" w:hAnsi="Titillium We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40" w:before="240" w:lineRule="auto"/>
        <w:rPr>
          <w:rFonts w:ascii="Titillium Web" w:cs="Titillium Web" w:eastAsia="Titillium Web" w:hAnsi="Titillium We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>
          <w:rFonts w:ascii="Titillium Web" w:cs="Titillium Web" w:eastAsia="Titillium Web" w:hAnsi="Titillium We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Rule="auto"/>
        <w:rPr>
          <w:rFonts w:ascii="Titillium Web" w:cs="Titillium Web" w:eastAsia="Titillium Web" w:hAnsi="Titillium We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40" w:before="240" w:lineRule="auto"/>
        <w:rPr>
          <w:rFonts w:ascii="Titillium Web" w:cs="Titillium Web" w:eastAsia="Titillium Web" w:hAnsi="Titillium We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rFonts w:ascii="Titillium Web" w:cs="Titillium Web" w:eastAsia="Titillium Web" w:hAnsi="Titillium Web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tillium Web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8">
    <w:pPr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5705475</wp:posOffset>
          </wp:positionH>
          <wp:positionV relativeFrom="page">
            <wp:posOffset>333375</wp:posOffset>
          </wp:positionV>
          <wp:extent cx="1481138" cy="278021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81138" cy="278021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9">
    <w:pPr>
      <w:rPr/>
    </w:pPr>
    <w:r w:rsidDel="00000000" w:rsidR="00000000" w:rsidRPr="00000000">
      <w:rPr/>
      <w:drawing>
        <wp:anchor allowOverlap="1" behindDoc="0" distB="114300" distT="114300" distL="114300" distR="114300" hidden="0" layoutInCell="1" locked="0" relativeHeight="0" simplePos="0">
          <wp:simplePos x="0" y="0"/>
          <wp:positionH relativeFrom="page">
            <wp:posOffset>266700</wp:posOffset>
          </wp:positionH>
          <wp:positionV relativeFrom="page">
            <wp:posOffset>171450</wp:posOffset>
          </wp:positionV>
          <wp:extent cx="1185863" cy="599173"/>
          <wp:effectExtent b="0" l="0" r="0" t="0"/>
          <wp:wrapNone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85863" cy="599173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A">
    <w:pPr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apala.fr/" TargetMode="Externa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itilliumWeb-regular.ttf"/><Relationship Id="rId2" Type="http://schemas.openxmlformats.org/officeDocument/2006/relationships/font" Target="fonts/TitilliumWeb-bold.ttf"/><Relationship Id="rId3" Type="http://schemas.openxmlformats.org/officeDocument/2006/relationships/font" Target="fonts/TitilliumWeb-italic.ttf"/><Relationship Id="rId4" Type="http://schemas.openxmlformats.org/officeDocument/2006/relationships/font" Target="fonts/TitilliumWeb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