
<file path=[Content_Types].xml><?xml version="1.0" encoding="utf-8"?>
<Types xmlns="http://schemas.openxmlformats.org/package/2006/content-types">
  <Default ContentType="image/jpeg" Extension="jpg"/>
  <Default ContentType="image/gif" Extension="gif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Titillium Web" w:cs="Titillium Web" w:eastAsia="Titillium Web" w:hAnsi="Titillium Web"/>
          <w:b w:val="1"/>
          <w:sz w:val="33"/>
          <w:szCs w:val="33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46"/>
          <w:szCs w:val="46"/>
          <w:rtl w:val="0"/>
        </w:rPr>
        <w:t xml:space="preserve">Initiation à la recherche scientifique</w:t>
      </w:r>
      <w:r w:rsidDel="00000000" w:rsidR="00000000" w:rsidRPr="00000000">
        <w:rPr>
          <w:rtl w:val="0"/>
        </w:rPr>
      </w:r>
    </w:p>
    <w:tbl>
      <w:tblPr>
        <w:tblStyle w:val="Table1"/>
        <w:tblW w:w="903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575"/>
        <w:gridCol w:w="1485"/>
        <w:gridCol w:w="4095"/>
        <w:gridCol w:w="1875"/>
        <w:tblGridChange w:id="0">
          <w:tblGrid>
            <w:gridCol w:w="1575"/>
            <w:gridCol w:w="1485"/>
            <w:gridCol w:w="4095"/>
            <w:gridCol w:w="1875"/>
          </w:tblGrid>
        </w:tblGridChange>
      </w:tblGrid>
      <w:tr>
        <w:trPr>
          <w:cantSplit w:val="0"/>
          <w:trHeight w:val="63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Date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Lieu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Intervenant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Présents</w:t>
            </w:r>
          </w:p>
        </w:tc>
      </w:tr>
      <w:tr>
        <w:trPr>
          <w:cantSplit w:val="0"/>
          <w:trHeight w:val="63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07/09/2022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Centrale Nantes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Jonathan Guéguen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widowControl w:val="0"/>
              <w:jc w:val="center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Équipe WELOW</w:t>
            </w:r>
          </w:p>
        </w:tc>
      </w:tr>
    </w:tbl>
    <w:p w:rsidR="00000000" w:rsidDel="00000000" w:rsidP="00000000" w:rsidRDefault="00000000" w:rsidRPr="00000000" w14:paraId="0000000B">
      <w:pPr>
        <w:pBdr>
          <w:left w:color="f1c232" w:space="2" w:sz="24" w:val="single"/>
        </w:pBd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Sommaire </w:t>
      </w:r>
    </w:p>
    <w:p w:rsidR="00000000" w:rsidDel="00000000" w:rsidP="00000000" w:rsidRDefault="00000000" w:rsidRPr="00000000" w14:paraId="0000000C">
      <w:pPr>
        <w:numPr>
          <w:ilvl w:val="0"/>
          <w:numId w:val="25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sz w:val="22"/>
          <w:szCs w:val="22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Introduction </w:t>
      </w:r>
    </w:p>
    <w:p w:rsidR="00000000" w:rsidDel="00000000" w:rsidP="00000000" w:rsidRDefault="00000000" w:rsidRPr="00000000" w14:paraId="0000000D">
      <w:pPr>
        <w:numPr>
          <w:ilvl w:val="1"/>
          <w:numId w:val="2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Quelques proverbes</w:t>
      </w:r>
    </w:p>
    <w:p w:rsidR="00000000" w:rsidDel="00000000" w:rsidP="00000000" w:rsidRDefault="00000000" w:rsidRPr="00000000" w14:paraId="0000000E">
      <w:pPr>
        <w:numPr>
          <w:ilvl w:val="1"/>
          <w:numId w:val="2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Types de preuves</w:t>
      </w:r>
    </w:p>
    <w:p w:rsidR="00000000" w:rsidDel="00000000" w:rsidP="00000000" w:rsidRDefault="00000000" w:rsidRPr="00000000" w14:paraId="0000000F">
      <w:pPr>
        <w:numPr>
          <w:ilvl w:val="1"/>
          <w:numId w:val="2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Niveaux de preuves</w:t>
      </w:r>
    </w:p>
    <w:p w:rsidR="00000000" w:rsidDel="00000000" w:rsidP="00000000" w:rsidRDefault="00000000" w:rsidRPr="00000000" w14:paraId="00000010">
      <w:pPr>
        <w:numPr>
          <w:ilvl w:val="1"/>
          <w:numId w:val="2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Niveau de crédence </w:t>
      </w:r>
    </w:p>
    <w:p w:rsidR="00000000" w:rsidDel="00000000" w:rsidP="00000000" w:rsidRDefault="00000000" w:rsidRPr="00000000" w14:paraId="00000011">
      <w:pPr>
        <w:numPr>
          <w:ilvl w:val="0"/>
          <w:numId w:val="25"/>
        </w:numPr>
        <w:spacing w:after="0" w:afterAutospacing="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Biais cognitifs</w:t>
      </w:r>
    </w:p>
    <w:p w:rsidR="00000000" w:rsidDel="00000000" w:rsidP="00000000" w:rsidRDefault="00000000" w:rsidRPr="00000000" w14:paraId="00000012">
      <w:pPr>
        <w:numPr>
          <w:ilvl w:val="0"/>
          <w:numId w:val="25"/>
        </w:numPr>
        <w:spacing w:after="0" w:afterAutospacing="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[Méthodologie] Consulter la littérature scientifique</w:t>
      </w:r>
    </w:p>
    <w:p w:rsidR="00000000" w:rsidDel="00000000" w:rsidP="00000000" w:rsidRDefault="00000000" w:rsidRPr="00000000" w14:paraId="00000013">
      <w:pPr>
        <w:numPr>
          <w:ilvl w:val="1"/>
          <w:numId w:val="2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Processus de publications</w:t>
      </w:r>
    </w:p>
    <w:p w:rsidR="00000000" w:rsidDel="00000000" w:rsidP="00000000" w:rsidRDefault="00000000" w:rsidRPr="00000000" w14:paraId="00000014">
      <w:pPr>
        <w:numPr>
          <w:ilvl w:val="1"/>
          <w:numId w:val="2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Moyens d’accès aux articles</w:t>
      </w:r>
    </w:p>
    <w:p w:rsidR="00000000" w:rsidDel="00000000" w:rsidP="00000000" w:rsidRDefault="00000000" w:rsidRPr="00000000" w14:paraId="00000015">
      <w:pPr>
        <w:numPr>
          <w:ilvl w:val="1"/>
          <w:numId w:val="25"/>
        </w:numPr>
        <w:spacing w:after="24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Quelques outils </w:t>
      </w:r>
    </w:p>
    <w:p w:rsidR="00000000" w:rsidDel="00000000" w:rsidP="00000000" w:rsidRDefault="00000000" w:rsidRPr="00000000" w14:paraId="00000016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2"/>
        <w:numPr>
          <w:ilvl w:val="0"/>
          <w:numId w:val="12"/>
        </w:numPr>
        <w:spacing w:after="240" w:lineRule="auto"/>
        <w:ind w:left="720" w:hanging="360"/>
        <w:jc w:val="both"/>
        <w:rPr>
          <w:rFonts w:ascii="Titillium Web" w:cs="Titillium Web" w:eastAsia="Titillium Web" w:hAnsi="Titillium Web"/>
          <w:b w:val="1"/>
          <w:sz w:val="36"/>
          <w:szCs w:val="36"/>
        </w:rPr>
      </w:pPr>
      <w:bookmarkStart w:colFirst="0" w:colLast="0" w:name="_4kg3vl2jhuly" w:id="0"/>
      <w:bookmarkEnd w:id="0"/>
      <w:r w:rsidDel="00000000" w:rsidR="00000000" w:rsidRPr="00000000">
        <w:rPr>
          <w:rFonts w:ascii="Titillium Web" w:cs="Titillium Web" w:eastAsia="Titillium Web" w:hAnsi="Titillium Web"/>
          <w:b w:val="1"/>
          <w:sz w:val="36"/>
          <w:szCs w:val="36"/>
          <w:rtl w:val="0"/>
        </w:rPr>
        <w:t xml:space="preserve">Introduction</w:t>
      </w:r>
    </w:p>
    <w:p w:rsidR="00000000" w:rsidDel="00000000" w:rsidP="00000000" w:rsidRDefault="00000000" w:rsidRPr="00000000" w14:paraId="00000018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Notions élémentaires liées aux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niveaux de preuves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ainsi que les moyens que nous avons de les analyser.</w:t>
      </w:r>
    </w:p>
    <w:p w:rsidR="00000000" w:rsidDel="00000000" w:rsidP="00000000" w:rsidRDefault="00000000" w:rsidRPr="00000000" w14:paraId="00000019">
      <w:pPr>
        <w:numPr>
          <w:ilvl w:val="0"/>
          <w:numId w:val="10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Outils de la recherche scientifique sont présentés.</w:t>
      </w:r>
    </w:p>
    <w:p w:rsidR="00000000" w:rsidDel="00000000" w:rsidP="00000000" w:rsidRDefault="00000000" w:rsidRPr="00000000" w14:paraId="0000001A">
      <w:pPr>
        <w:numPr>
          <w:ilvl w:val="0"/>
          <w:numId w:val="10"/>
        </w:numPr>
        <w:spacing w:after="0" w:afterAutospacing="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Des outils à notre service:</w:t>
      </w:r>
    </w:p>
    <w:p w:rsidR="00000000" w:rsidDel="00000000" w:rsidP="00000000" w:rsidRDefault="00000000" w:rsidRPr="00000000" w14:paraId="0000001B">
      <w:pPr>
        <w:numPr>
          <w:ilvl w:val="1"/>
          <w:numId w:val="10"/>
        </w:numPr>
        <w:spacing w:after="24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Chaine Youtube : Hygiène mentale, esprit critique</w:t>
      </w:r>
    </w:p>
    <w:p w:rsidR="00000000" w:rsidDel="00000000" w:rsidP="00000000" w:rsidRDefault="00000000" w:rsidRPr="00000000" w14:paraId="0000001C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40" w:lineRule="auto"/>
        <w:ind w:firstLine="72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La Science nous renseigne sur ce qu'on sait ou ne sait pas, c'est relatif ; pas absolu. Pas de vérité absolue. La science n'a pas prétention à tout expliquer. </w:t>
      </w:r>
    </w:p>
    <w:p w:rsidR="00000000" w:rsidDel="00000000" w:rsidP="00000000" w:rsidRDefault="00000000" w:rsidRPr="00000000" w14:paraId="0000001E">
      <w:pPr>
        <w:numPr>
          <w:ilvl w:val="0"/>
          <w:numId w:val="24"/>
        </w:numPr>
        <w:spacing w:after="0" w:after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Zone noire grosse = modèle théorique, méthodes scientifiques. </w:t>
      </w:r>
    </w:p>
    <w:p w:rsidR="00000000" w:rsidDel="00000000" w:rsidP="00000000" w:rsidRDefault="00000000" w:rsidRPr="00000000" w14:paraId="0000001F">
      <w:pPr>
        <w:numPr>
          <w:ilvl w:val="0"/>
          <w:numId w:val="24"/>
        </w:numPr>
        <w:spacing w:after="0" w:after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Point isolé = observation, expérience.</w:t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333375</wp:posOffset>
            </wp:positionH>
            <wp:positionV relativeFrom="paragraph">
              <wp:posOffset>260109</wp:posOffset>
            </wp:positionV>
            <wp:extent cx="5062538" cy="3077888"/>
            <wp:effectExtent b="0" l="0" r="0" t="0"/>
            <wp:wrapTopAndBottom distB="57150" distT="57150"/>
            <wp:docPr id="1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 b="304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62538" cy="30778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0">
      <w:pPr>
        <w:numPr>
          <w:ilvl w:val="0"/>
          <w:numId w:val="24"/>
        </w:numPr>
        <w:spacing w:after="0" w:after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Recherche scientifique = essayer comprendre les points isolés.  </w:t>
      </w:r>
    </w:p>
    <w:p w:rsidR="00000000" w:rsidDel="00000000" w:rsidP="00000000" w:rsidRDefault="00000000" w:rsidRPr="00000000" w14:paraId="00000021">
      <w:pPr>
        <w:numPr>
          <w:ilvl w:val="0"/>
          <w:numId w:val="24"/>
        </w:numPr>
        <w:spacing w:after="24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Graphe n'est pas figé.</w:t>
      </w:r>
    </w:p>
    <w:p w:rsidR="00000000" w:rsidDel="00000000" w:rsidP="00000000" w:rsidRDefault="00000000" w:rsidRPr="00000000" w14:paraId="00000022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Abus de langage. On croit" devient "je pense que je sais car j'ai assez d'infos".</w:t>
      </w:r>
    </w:p>
    <w:p w:rsidR="00000000" w:rsidDel="00000000" w:rsidP="00000000" w:rsidRDefault="00000000" w:rsidRPr="00000000" w14:paraId="00000023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Pans entiers de la RS ne sont pas médiatisés, débat faible niveau MAIS de grosses infos existent dessus dans la RS (on est bcp + avancé qu'on ne le croit), il manque juste la médiatisation.</w:t>
      </w:r>
    </w:p>
    <w:p w:rsidR="00000000" w:rsidDel="00000000" w:rsidP="00000000" w:rsidRDefault="00000000" w:rsidRPr="00000000" w14:paraId="00000024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  <w:sz w:val="27"/>
          <w:szCs w:val="27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27"/>
          <w:szCs w:val="27"/>
          <w:rtl w:val="0"/>
        </w:rPr>
        <w:t xml:space="preserve">Qlq proverbes explicites :</w:t>
      </w:r>
    </w:p>
    <w:p w:rsidR="00000000" w:rsidDel="00000000" w:rsidP="00000000" w:rsidRDefault="00000000" w:rsidRPr="00000000" w14:paraId="00000025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</w:rPr>
        <w:drawing>
          <wp:inline distB="114300" distT="114300" distL="114300" distR="114300">
            <wp:extent cx="5731200" cy="2451100"/>
            <wp:effectExtent b="0" l="0" r="0" t="0"/>
            <wp:docPr id="10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5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40" w:lineRule="auto"/>
        <w:jc w:val="both"/>
        <w:rPr>
          <w:rFonts w:ascii="Titillium Web" w:cs="Titillium Web" w:eastAsia="Titillium Web" w:hAnsi="Titillium Web"/>
          <w:b w:val="1"/>
          <w:sz w:val="27"/>
          <w:szCs w:val="27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27"/>
          <w:szCs w:val="27"/>
          <w:rtl w:val="0"/>
        </w:rPr>
        <w:t xml:space="preserve">Type de source:</w:t>
      </w:r>
    </w:p>
    <w:p w:rsidR="00000000" w:rsidDel="00000000" w:rsidP="00000000" w:rsidRDefault="00000000" w:rsidRPr="00000000" w14:paraId="00000029">
      <w:pPr>
        <w:numPr>
          <w:ilvl w:val="0"/>
          <w:numId w:val="20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​Source primaire: 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Information à caractère original. Dans l'état où il a été écrit. Revue par les paires</w:t>
      </w:r>
    </w:p>
    <w:p w:rsidR="00000000" w:rsidDel="00000000" w:rsidP="00000000" w:rsidRDefault="00000000" w:rsidRPr="00000000" w14:paraId="0000002A">
      <w:pPr>
        <w:numPr>
          <w:ilvl w:val="0"/>
          <w:numId w:val="20"/>
        </w:numPr>
        <w:spacing w:after="24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Source secondaire :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​​​​​​Document comportant des informations de nature signalétique ou analytique sur des documents primaires. littérature grise. Le fait de relayer des infos d'une source primaire</w:t>
      </w:r>
    </w:p>
    <w:p w:rsidR="00000000" w:rsidDel="00000000" w:rsidP="00000000" w:rsidRDefault="00000000" w:rsidRPr="00000000" w14:paraId="0000002B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Préprint = format batars, pas encore publié et relue par les pairs.</w:t>
      </w:r>
    </w:p>
    <w:p w:rsidR="00000000" w:rsidDel="00000000" w:rsidP="00000000" w:rsidRDefault="00000000" w:rsidRPr="00000000" w14:paraId="0000002C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(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exemple optique : soleil = source primaire, lune = source secondaire # info relayée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) --&gt; citer ses sources permet de réduire la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friction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vers la source primaire lorsque l'on fait office de source secondaire.</w:t>
      </w:r>
    </w:p>
    <w:p w:rsidR="00000000" w:rsidDel="00000000" w:rsidP="00000000" w:rsidRDefault="00000000" w:rsidRPr="00000000" w14:paraId="0000002D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  <w:sz w:val="27"/>
          <w:szCs w:val="27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27"/>
          <w:szCs w:val="27"/>
          <w:rtl w:val="0"/>
        </w:rPr>
        <w:t xml:space="preserve">Les niveaux de preuve: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1038225</wp:posOffset>
            </wp:positionH>
            <wp:positionV relativeFrom="paragraph">
              <wp:posOffset>426748</wp:posOffset>
            </wp:positionV>
            <wp:extent cx="3738563" cy="5293919"/>
            <wp:effectExtent b="0" l="0" r="0" t="0"/>
            <wp:wrapTopAndBottom distB="114300" distT="11430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38563" cy="52939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F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APALA s'appuie sur des preuves validées par des paires dans des revues de publication.</w:t>
      </w:r>
    </w:p>
    <w:p w:rsidR="00000000" w:rsidDel="00000000" w:rsidP="00000000" w:rsidRDefault="00000000" w:rsidRPr="00000000" w14:paraId="00000032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Niveau de crédence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seuil de confiance placée dans une source, une info.</w:t>
      </w:r>
    </w:p>
    <w:p w:rsidR="00000000" w:rsidDel="00000000" w:rsidP="00000000" w:rsidRDefault="00000000" w:rsidRPr="00000000" w14:paraId="00000033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Principe de publication = </w:t>
      </w: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exigeant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. Garant de la </w:t>
      </w: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pertinence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des résultats.</w:t>
      </w:r>
    </w:p>
    <w:p w:rsidR="00000000" w:rsidDel="00000000" w:rsidP="00000000" w:rsidRDefault="00000000" w:rsidRPr="00000000" w14:paraId="00000034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Parfois cool d'essayer d'étayer des croyances avec des publications (biais). Intuition parfois bonne.</w:t>
      </w:r>
    </w:p>
    <w:p w:rsidR="00000000" w:rsidDel="00000000" w:rsidP="00000000" w:rsidRDefault="00000000" w:rsidRPr="00000000" w14:paraId="00000035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Didier Raoult --&gt; verifier s'il dit de la merde, se renseigner sur la personne et ne pas se fier à l'assurance du scientifique, trop sûr de lui = RED FLAG ARNAQUE. Un scientifique a tjrs des doutes, se remet en questions !!</w:t>
      </w:r>
    </w:p>
    <w:p w:rsidR="00000000" w:rsidDel="00000000" w:rsidP="00000000" w:rsidRDefault="00000000" w:rsidRPr="00000000" w14:paraId="00000036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Méta Analyse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:</w:t>
      </w:r>
      <w:r w:rsidDel="00000000" w:rsidR="00000000" w:rsidRPr="00000000">
        <w:rPr>
          <w:rFonts w:ascii="Nova Mono" w:cs="Nova Mono" w:eastAsia="Nova Mono" w:hAnsi="Nova Mono"/>
          <w:rtl w:val="0"/>
        </w:rPr>
        <w:t xml:space="preserve"> étude d'étude. Résultats ≠ selon les méthodes utilisées. Enlever tous les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cofacteurs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. Fait le tri, regarde un sujet, pondération des résultats en enlevant les cofacteurs. Quantifie et donne une puissance scientifique au résultat. Avant consensus scientifique, plusieurs méta-analyses sont faites sur les sujets. </w:t>
      </w:r>
    </w:p>
    <w:p w:rsidR="00000000" w:rsidDel="00000000" w:rsidP="00000000" w:rsidRDefault="00000000" w:rsidRPr="00000000" w14:paraId="00000037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Consensus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tous les résultats se croisent et pointent vers le même résultat.</w:t>
      </w:r>
    </w:p>
    <w:p w:rsidR="00000000" w:rsidDel="00000000" w:rsidP="00000000" w:rsidRDefault="00000000" w:rsidRPr="00000000" w14:paraId="00000038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Étude de cohorte :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Grands groupes d'essais, puissance de cas. Panel large. </w:t>
      </w:r>
    </w:p>
    <w:p w:rsidR="00000000" w:rsidDel="00000000" w:rsidP="00000000" w:rsidRDefault="00000000" w:rsidRPr="00000000" w14:paraId="00000039">
      <w:pPr>
        <w:numPr>
          <w:ilvl w:val="0"/>
          <w:numId w:val="12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sz w:val="36"/>
          <w:szCs w:val="36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36"/>
          <w:szCs w:val="36"/>
          <w:rtl w:val="0"/>
        </w:rPr>
        <w:t xml:space="preserve">Biais cognitifs</w:t>
      </w:r>
    </w:p>
    <w:p w:rsidR="00000000" w:rsidDel="00000000" w:rsidP="00000000" w:rsidRDefault="00000000" w:rsidRPr="00000000" w14:paraId="0000003A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Déviation du traitement cognitif d'une info. Pensée trompeuse qui semble vraie &amp; logique.</w:t>
      </w:r>
    </w:p>
    <w:p w:rsidR="00000000" w:rsidDel="00000000" w:rsidP="00000000" w:rsidRDefault="00000000" w:rsidRPr="00000000" w14:paraId="0000003B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Très utiles. Donne du sens. Te pousse à agir trop rapidement des fois. Peut prêter à des jugements erronés. Influence le fait de se faire manipuler.</w:t>
      </w:r>
    </w:p>
    <w:p w:rsidR="00000000" w:rsidDel="00000000" w:rsidP="00000000" w:rsidRDefault="00000000" w:rsidRPr="00000000" w14:paraId="0000003C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Le biais est une norme, fonctionnement normal du cerveau.</w:t>
      </w:r>
    </w:p>
    <w:p w:rsidR="00000000" w:rsidDel="00000000" w:rsidP="00000000" w:rsidRDefault="00000000" w:rsidRPr="00000000" w14:paraId="0000003D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</w:rPr>
        <w:drawing>
          <wp:inline distB="114300" distT="114300" distL="114300" distR="114300">
            <wp:extent cx="5731200" cy="4419600"/>
            <wp:effectExtent b="0" l="0" r="0" t="0"/>
            <wp:docPr id="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1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Biais sensoriel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exemple --&gt; Illusion d'optique.</w:t>
      </w:r>
    </w:p>
    <w:p w:rsidR="00000000" w:rsidDel="00000000" w:rsidP="00000000" w:rsidRDefault="00000000" w:rsidRPr="00000000" w14:paraId="00000040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Biais de confirmation 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: privilégier les </w:t>
      </w:r>
      <w:hyperlink r:id="rId10">
        <w:r w:rsidDel="00000000" w:rsidR="00000000" w:rsidRPr="00000000">
          <w:rPr>
            <w:rFonts w:ascii="Titillium Web" w:cs="Titillium Web" w:eastAsia="Titillium Web" w:hAnsi="Titillium Web"/>
            <w:color w:val="1155cc"/>
            <w:u w:val="single"/>
            <w:rtl w:val="0"/>
          </w:rPr>
          <w:t xml:space="preserve">informations</w:t>
        </w:r>
      </w:hyperlink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confirmant ses idées préconçues ou ses </w:t>
      </w:r>
      <w:hyperlink r:id="rId11">
        <w:r w:rsidDel="00000000" w:rsidR="00000000" w:rsidRPr="00000000">
          <w:rPr>
            <w:rFonts w:ascii="Titillium Web" w:cs="Titillium Web" w:eastAsia="Titillium Web" w:hAnsi="Titillium Web"/>
            <w:color w:val="1155cc"/>
            <w:u w:val="single"/>
            <w:rtl w:val="0"/>
          </w:rPr>
          <w:t xml:space="preserve">hypothèses</w:t>
        </w:r>
      </w:hyperlink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, ou à accorder moins de poids aux hypothèses et informations jouant en défaveur de ses conceptions, ce qui se traduit par une réticence à changer d'avis</w:t>
      </w:r>
    </w:p>
    <w:p w:rsidR="00000000" w:rsidDel="00000000" w:rsidP="00000000" w:rsidRDefault="00000000" w:rsidRPr="00000000" w14:paraId="00000041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du survivant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surévaluer les chances de succès d'une initiative en concentrant l'attention sur les sujets ayant réussi mais qui sont des exceptions </w:t>
      </w:r>
      <w:hyperlink r:id="rId12">
        <w:r w:rsidDel="00000000" w:rsidR="00000000" w:rsidRPr="00000000">
          <w:rPr>
            <w:rFonts w:ascii="Titillium Web" w:cs="Titillium Web" w:eastAsia="Titillium Web" w:hAnsi="Titillium Web"/>
            <w:color w:val="1155cc"/>
            <w:u w:val="single"/>
            <w:rtl w:val="0"/>
          </w:rPr>
          <w:t xml:space="preserve">statistiques</w:t>
        </w:r>
      </w:hyperlink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(des « survivants ») plutôt que des cas représentatifs.</w:t>
      </w:r>
    </w:p>
    <w:p w:rsidR="00000000" w:rsidDel="00000000" w:rsidP="00000000" w:rsidRDefault="00000000" w:rsidRPr="00000000" w14:paraId="00000042">
      <w:pPr>
        <w:spacing w:after="240" w:before="240" w:lineRule="auto"/>
        <w:jc w:val="both"/>
        <w:rPr>
          <w:rFonts w:ascii="Titillium Web" w:cs="Titillium Web" w:eastAsia="Titillium Web" w:hAnsi="Titillium Web"/>
          <w:i w:val="1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biais de disponibilité</w:t>
      </w:r>
    </w:p>
    <w:p w:rsidR="00000000" w:rsidDel="00000000" w:rsidP="00000000" w:rsidRDefault="00000000" w:rsidRPr="00000000" w14:paraId="00000043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de la pensée de groupe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les positions initiales des membres individuels d'un groupe sont exagérées vers une position plus extrême, précisément parce qu'ils sont en groupe.</w:t>
      </w:r>
    </w:p>
    <w:p w:rsidR="00000000" w:rsidDel="00000000" w:rsidP="00000000" w:rsidRDefault="00000000" w:rsidRPr="00000000" w14:paraId="00000044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de négativité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+ attention aux éléments négatifs qu'aux autres. Envisager le mauvais scénario. On voit d'abord ce qui est mauvais. </w:t>
      </w:r>
    </w:p>
    <w:p w:rsidR="00000000" w:rsidDel="00000000" w:rsidP="00000000" w:rsidRDefault="00000000" w:rsidRPr="00000000" w14:paraId="00000045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Effet Dunning-Kruger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​​​​​​​</w:t>
      </w:r>
    </w:p>
    <w:p w:rsidR="00000000" w:rsidDel="00000000" w:rsidP="00000000" w:rsidRDefault="00000000" w:rsidRPr="00000000" w14:paraId="00000047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+ je suis qualifié + je sous évalue mes compétences. et inversement.</w:t>
      </w:r>
    </w:p>
    <w:p w:rsidR="00000000" w:rsidDel="00000000" w:rsidP="00000000" w:rsidRDefault="00000000" w:rsidRPr="00000000" w14:paraId="00000048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Tout le monde estime être au dessus de la moyenne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1103475</wp:posOffset>
            </wp:positionH>
            <wp:positionV relativeFrom="paragraph">
              <wp:posOffset>419100</wp:posOffset>
            </wp:positionV>
            <wp:extent cx="3527350" cy="4986338"/>
            <wp:effectExtent b="0" l="0" r="0" t="0"/>
            <wp:wrapTopAndBottom distB="114300" distT="114300"/>
            <wp:docPr id="2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27350" cy="49863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9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numPr>
          <w:ilvl w:val="0"/>
          <w:numId w:val="12"/>
        </w:numPr>
        <w:ind w:left="720" w:hanging="360"/>
        <w:jc w:val="both"/>
        <w:rPr>
          <w:rFonts w:ascii="Titillium Web" w:cs="Titillium Web" w:eastAsia="Titillium Web" w:hAnsi="Titillium Web"/>
          <w:sz w:val="36"/>
          <w:szCs w:val="36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36"/>
          <w:szCs w:val="36"/>
          <w:rtl w:val="0"/>
        </w:rPr>
        <w:t xml:space="preserve">[Méthodologie] Consulter la littérature scientifique</w:t>
      </w:r>
    </w:p>
    <w:p w:rsidR="00000000" w:rsidDel="00000000" w:rsidP="00000000" w:rsidRDefault="00000000" w:rsidRPr="00000000" w14:paraId="00000054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numPr>
          <w:ilvl w:val="0"/>
          <w:numId w:val="17"/>
        </w:numPr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Processus de publication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​​​​​​​</w:t>
      </w:r>
      <w:r w:rsidDel="00000000" w:rsidR="00000000" w:rsidRPr="00000000">
        <w:rPr>
          <w:rFonts w:ascii="Titillium Web" w:cs="Titillium Web" w:eastAsia="Titillium Web" w:hAnsi="Titillium Web"/>
        </w:rPr>
        <w:drawing>
          <wp:inline distB="114300" distT="114300" distL="114300" distR="114300">
            <wp:extent cx="139700" cy="139700"/>
            <wp:effectExtent b="0" l="0" r="0" t="0"/>
            <wp:docPr descr="Cliquer et glisser pour déplacer" id="8" name="image4.gif"/>
            <a:graphic>
              <a:graphicData uri="http://schemas.openxmlformats.org/drawingml/2006/picture">
                <pic:pic>
                  <pic:nvPicPr>
                    <pic:cNvPr descr="Cliquer et glisser pour déplacer" id="0" name="image4.gif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3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</w:rPr>
        <w:drawing>
          <wp:inline distB="114300" distT="114300" distL="114300" distR="114300">
            <wp:extent cx="5731200" cy="2552700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5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numPr>
          <w:ilvl w:val="0"/>
          <w:numId w:val="4"/>
        </w:numPr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Accès à des publications</w:t>
      </w:r>
    </w:p>
    <w:p w:rsidR="00000000" w:rsidDel="00000000" w:rsidP="00000000" w:rsidRDefault="00000000" w:rsidRPr="00000000" w14:paraId="00000059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</w:rPr>
        <w:drawing>
          <wp:inline distB="114300" distT="114300" distL="114300" distR="114300">
            <wp:extent cx="5731200" cy="2019300"/>
            <wp:effectExtent b="0" l="0" r="0" t="0"/>
            <wp:docPr id="9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1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numPr>
          <w:ilvl w:val="0"/>
          <w:numId w:val="26"/>
        </w:numPr>
        <w:spacing w:after="0" w:afterAutospacing="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Qualité et pertinence des sources</w:t>
      </w:r>
    </w:p>
    <w:p w:rsidR="00000000" w:rsidDel="00000000" w:rsidP="00000000" w:rsidRDefault="00000000" w:rsidRPr="00000000" w14:paraId="0000005C">
      <w:pPr>
        <w:numPr>
          <w:ilvl w:val="1"/>
          <w:numId w:val="26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rtl w:val="0"/>
        </w:rPr>
        <w:t xml:space="preserve">Nature du doc</w:t>
      </w:r>
    </w:p>
    <w:p w:rsidR="00000000" w:rsidDel="00000000" w:rsidP="00000000" w:rsidRDefault="00000000" w:rsidRPr="00000000" w14:paraId="0000005D">
      <w:pPr>
        <w:numPr>
          <w:ilvl w:val="1"/>
          <w:numId w:val="26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rtl w:val="0"/>
        </w:rPr>
        <w:t xml:space="preserve">Titre du doc</w:t>
      </w:r>
    </w:p>
    <w:p w:rsidR="00000000" w:rsidDel="00000000" w:rsidP="00000000" w:rsidRDefault="00000000" w:rsidRPr="00000000" w14:paraId="0000005E">
      <w:pPr>
        <w:numPr>
          <w:ilvl w:val="1"/>
          <w:numId w:val="26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rtl w:val="0"/>
        </w:rPr>
        <w:t xml:space="preserve">Résumé</w:t>
      </w:r>
    </w:p>
    <w:p w:rsidR="00000000" w:rsidDel="00000000" w:rsidP="00000000" w:rsidRDefault="00000000" w:rsidRPr="00000000" w14:paraId="0000005F">
      <w:pPr>
        <w:numPr>
          <w:ilvl w:val="1"/>
          <w:numId w:val="26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rtl w:val="0"/>
        </w:rPr>
        <w:t xml:space="preserve">Table des matières</w:t>
      </w:r>
    </w:p>
    <w:p w:rsidR="00000000" w:rsidDel="00000000" w:rsidP="00000000" w:rsidRDefault="00000000" w:rsidRPr="00000000" w14:paraId="00000060">
      <w:pPr>
        <w:numPr>
          <w:ilvl w:val="1"/>
          <w:numId w:val="26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rtl w:val="0"/>
        </w:rPr>
        <w:t xml:space="preserve">Tableaux, graphs</w:t>
      </w:r>
    </w:p>
    <w:p w:rsidR="00000000" w:rsidDel="00000000" w:rsidP="00000000" w:rsidRDefault="00000000" w:rsidRPr="00000000" w14:paraId="00000061">
      <w:pPr>
        <w:numPr>
          <w:ilvl w:val="1"/>
          <w:numId w:val="26"/>
        </w:numPr>
        <w:spacing w:after="24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rtl w:val="0"/>
        </w:rPr>
        <w:t xml:space="preserve">Intro &amp; conclusion</w:t>
      </w:r>
    </w:p>
    <w:p w:rsidR="00000000" w:rsidDel="00000000" w:rsidP="00000000" w:rsidRDefault="00000000" w:rsidRPr="00000000" w14:paraId="00000062">
      <w:pPr>
        <w:spacing w:after="240" w:before="240" w:lineRule="auto"/>
        <w:ind w:left="0" w:firstLine="0"/>
        <w:jc w:val="both"/>
        <w:rPr>
          <w:rFonts w:ascii="Titillium Web" w:cs="Titillium Web" w:eastAsia="Titillium Web" w:hAnsi="Titillium Web"/>
          <w:color w:val="e74c3c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2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Difficulté de recherche</w:t>
      </w:r>
    </w:p>
    <w:p w:rsidR="00000000" w:rsidDel="00000000" w:rsidP="00000000" w:rsidRDefault="00000000" w:rsidRPr="00000000" w14:paraId="00000064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Bruit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ensemble des docs non pertinents lors d'une recherche</w:t>
      </w:r>
    </w:p>
    <w:p w:rsidR="00000000" w:rsidDel="00000000" w:rsidP="00000000" w:rsidRDefault="00000000" w:rsidRPr="00000000" w14:paraId="00000065">
      <w:pPr>
        <w:numPr>
          <w:ilvl w:val="1"/>
          <w:numId w:val="2"/>
        </w:numPr>
        <w:spacing w:after="24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Silence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ensemble des docs pertinents non affichés lors d'une recherche documentaire --&gt; importance des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mots clés</w:t>
      </w:r>
    </w:p>
    <w:p w:rsidR="00000000" w:rsidDel="00000000" w:rsidP="00000000" w:rsidRDefault="00000000" w:rsidRPr="00000000" w14:paraId="00000066">
      <w:pPr>
        <w:spacing w:after="240" w:before="240" w:lineRule="auto"/>
        <w:ind w:left="0" w:firstLine="0"/>
        <w:jc w:val="both"/>
        <w:rPr>
          <w:rFonts w:ascii="Titillium Web" w:cs="Titillium Web" w:eastAsia="Titillium Web" w:hAnsi="Titillium Web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numPr>
          <w:ilvl w:val="0"/>
          <w:numId w:val="15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Tips pour recherche Internet Google</w:t>
      </w:r>
    </w:p>
    <w:p w:rsidR="00000000" w:rsidDel="00000000" w:rsidP="00000000" w:rsidRDefault="00000000" w:rsidRPr="00000000" w14:paraId="00000068">
      <w:pPr>
        <w:spacing w:after="240" w:before="240" w:lineRule="auto"/>
        <w:jc w:val="both"/>
        <w:rPr>
          <w:rFonts w:ascii="Titillium Web" w:cs="Titillium Web" w:eastAsia="Titillium Web" w:hAnsi="Titillium Web"/>
          <w:i w:val="1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" pour rechercher une expression entière</w:t>
      </w:r>
    </w:p>
    <w:p w:rsidR="00000000" w:rsidDel="00000000" w:rsidP="00000000" w:rsidRDefault="00000000" w:rsidRPr="00000000" w14:paraId="00000069">
      <w:pPr>
        <w:spacing w:after="240" w:before="240" w:lineRule="auto"/>
        <w:jc w:val="both"/>
        <w:rPr>
          <w:rFonts w:ascii="Titillium Web" w:cs="Titillium Web" w:eastAsia="Titillium Web" w:hAnsi="Titillium Web"/>
          <w:i w:val="1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? pour remplacer un caractère</w:t>
      </w:r>
    </w:p>
    <w:p w:rsidR="00000000" w:rsidDel="00000000" w:rsidP="00000000" w:rsidRDefault="00000000" w:rsidRPr="00000000" w14:paraId="0000006A">
      <w:pPr>
        <w:spacing w:after="240" w:before="240" w:lineRule="auto"/>
        <w:jc w:val="both"/>
        <w:rPr>
          <w:rFonts w:ascii="Titillium Web" w:cs="Titillium Web" w:eastAsia="Titillium Web" w:hAnsi="Titillium Web"/>
          <w:i w:val="1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$ pour remplacer un ensemble de caractère</w:t>
      </w:r>
    </w:p>
    <w:p w:rsidR="00000000" w:rsidDel="00000000" w:rsidP="00000000" w:rsidRDefault="00000000" w:rsidRPr="00000000" w14:paraId="0000006B">
      <w:pPr>
        <w:numPr>
          <w:ilvl w:val="0"/>
          <w:numId w:val="18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Moteur de recherche</w:t>
      </w:r>
    </w:p>
    <w:p w:rsidR="00000000" w:rsidDel="00000000" w:rsidP="00000000" w:rsidRDefault="00000000" w:rsidRPr="00000000" w14:paraId="0000006C">
      <w:pPr>
        <w:spacing w:after="240" w:before="240" w:lineRule="auto"/>
        <w:jc w:val="both"/>
        <w:rPr>
          <w:rFonts w:ascii="Titillium Web" w:cs="Titillium Web" w:eastAsia="Titillium Web" w:hAnsi="Titillium Web"/>
          <w:color w:val="1155cc"/>
          <w:u w:val="singl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Url publié dans une publi :</w:t>
      </w:r>
      <w:hyperlink r:id="rId17">
        <w:r w:rsidDel="00000000" w:rsidR="00000000" w:rsidRPr="00000000">
          <w:rPr>
            <w:rFonts w:ascii="Titillium Web" w:cs="Titillium Web" w:eastAsia="Titillium Web" w:hAnsi="Titillium Web"/>
            <w:rtl w:val="0"/>
          </w:rPr>
          <w:t xml:space="preserve"> </w:t>
        </w:r>
      </w:hyperlink>
      <w:hyperlink r:id="rId18">
        <w:r w:rsidDel="00000000" w:rsidR="00000000" w:rsidRPr="00000000">
          <w:rPr>
            <w:rFonts w:ascii="Titillium Web" w:cs="Titillium Web" w:eastAsia="Titillium Web" w:hAnsi="Titillium Web"/>
            <w:color w:val="1155cc"/>
            <w:u w:val="single"/>
            <w:rtl w:val="0"/>
          </w:rPr>
          <w:t xml:space="preserve">https://doi.org/10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doi = lien générique du papier --&gt; celui qu'il faut utiliser pour citer : DOI: 10.-</w:t>
      </w:r>
    </w:p>
    <w:p w:rsidR="00000000" w:rsidDel="00000000" w:rsidP="00000000" w:rsidRDefault="00000000" w:rsidRPr="00000000" w14:paraId="0000006E">
      <w:pPr>
        <w:numPr>
          <w:ilvl w:val="0"/>
          <w:numId w:val="22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c0392b"/>
          <w:shd w:fill="f1c40f" w:val="clear"/>
          <w:rtl w:val="0"/>
        </w:rPr>
        <w:t xml:space="preserve">Google Scholar 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: top du top, grosse base de donnée pour chercher des papiers, pas vraiment de tri par pertinence ou autres...on ne sait pas sur quoi c'est basé</w:t>
      </w:r>
    </w:p>
    <w:p w:rsidR="00000000" w:rsidDel="00000000" w:rsidP="00000000" w:rsidRDefault="00000000" w:rsidRPr="00000000" w14:paraId="0000006F">
      <w:pPr>
        <w:numPr>
          <w:ilvl w:val="0"/>
          <w:numId w:val="22"/>
        </w:numPr>
        <w:spacing w:after="240" w:before="0" w:beforeAutospacing="0" w:lineRule="auto"/>
        <w:ind w:left="72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c0392b"/>
          <w:shd w:fill="f1c40f" w:val="clear"/>
          <w:rtl w:val="0"/>
        </w:rPr>
        <w:t xml:space="preserve">Semantic Scholar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: autre niveau de tri, par pertinence, nombre de citations,... ​​​​</w:t>
      </w:r>
    </w:p>
    <w:p w:rsidR="00000000" w:rsidDel="00000000" w:rsidP="00000000" w:rsidRDefault="00000000" w:rsidRPr="00000000" w14:paraId="00000070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numPr>
          <w:ilvl w:val="0"/>
          <w:numId w:val="8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Où trouver des publis</w:t>
      </w:r>
    </w:p>
    <w:p w:rsidR="00000000" w:rsidDel="00000000" w:rsidP="00000000" w:rsidRDefault="00000000" w:rsidRPr="00000000" w14:paraId="00000072">
      <w:pPr>
        <w:numPr>
          <w:ilvl w:val="0"/>
          <w:numId w:val="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shd w:fill="f1c40f" w:val="clear"/>
          <w:rtl w:val="0"/>
        </w:rPr>
        <w:t xml:space="preserve">Sci Hub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(Utiliser un VPN ATTENTION)</w:t>
      </w:r>
    </w:p>
    <w:p w:rsidR="00000000" w:rsidDel="00000000" w:rsidP="00000000" w:rsidRDefault="00000000" w:rsidRPr="00000000" w14:paraId="00000073">
      <w:pPr>
        <w:numPr>
          <w:ilvl w:val="0"/>
          <w:numId w:val="5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Recherche Gate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Bibliographie scientifique - assistant de recherche</w:t>
      </w:r>
    </w:p>
    <w:p w:rsidR="00000000" w:rsidDel="00000000" w:rsidP="00000000" w:rsidRDefault="00000000" w:rsidRPr="00000000" w14:paraId="00000075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i w:val="1"/>
          <w:color w:val="e74c3c"/>
          <w:shd w:fill="f1c40f" w:val="clear"/>
          <w:rtl w:val="0"/>
        </w:rPr>
        <w:t xml:space="preserve">Zotero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, logiciel gratuit, outil bibliographique.</w:t>
        <w:br w:type="textWrapping"/>
        <w:t xml:space="preserve">Sert à collecter, organiser, citer, partager ses recherches. Open source!</w:t>
      </w:r>
    </w:p>
    <w:p w:rsidR="00000000" w:rsidDel="00000000" w:rsidP="00000000" w:rsidRDefault="00000000" w:rsidRPr="00000000" w14:paraId="00000076">
      <w:pPr>
        <w:numPr>
          <w:ilvl w:val="0"/>
          <w:numId w:val="13"/>
        </w:numPr>
        <w:spacing w:after="24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Traducteur intelligent</w:t>
      </w:r>
    </w:p>
    <w:p w:rsidR="00000000" w:rsidDel="00000000" w:rsidP="00000000" w:rsidRDefault="00000000" w:rsidRPr="00000000" w14:paraId="00000077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shd w:fill="f1c40f" w:val="clear"/>
          <w:rtl w:val="0"/>
        </w:rPr>
        <w:t xml:space="preserve">DeepL</w:t>
      </w:r>
      <w:r w:rsidDel="00000000" w:rsidR="00000000" w:rsidRPr="00000000">
        <w:rPr>
          <w:rFonts w:ascii="PT Mono" w:cs="PT Mono" w:eastAsia="PT Mono" w:hAnsi="PT Mono"/>
          <w:rtl w:val="0"/>
        </w:rPr>
        <w:t xml:space="preserve"> : Incroyable! même en recherche </w:t>
        <w:br w:type="textWrapping"/>
        <w:t xml:space="preserve">Pro = 7€/mois</w:t>
      </w:r>
    </w:p>
    <w:p w:rsidR="00000000" w:rsidDel="00000000" w:rsidP="00000000" w:rsidRDefault="00000000" w:rsidRPr="00000000" w14:paraId="00000078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numPr>
          <w:ilvl w:val="0"/>
          <w:numId w:val="23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Evaluation publique d'intégrité scientifique</w:t>
      </w:r>
    </w:p>
    <w:p w:rsidR="00000000" w:rsidDel="00000000" w:rsidP="00000000" w:rsidRDefault="00000000" w:rsidRPr="00000000" w14:paraId="0000007B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shd w:fill="f1c40f" w:val="clear"/>
          <w:rtl w:val="0"/>
        </w:rPr>
        <w:t xml:space="preserve">PubPeer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examen par les pairs après publication (PPPR)</w:t>
        <w:br w:type="textWrapping"/>
        <w:t xml:space="preserve">–&gt; permet de commenter de manière anonyme ou signé un article après publication.</w:t>
      </w:r>
    </w:p>
    <w:p w:rsidR="00000000" w:rsidDel="00000000" w:rsidP="00000000" w:rsidRDefault="00000000" w:rsidRPr="00000000" w14:paraId="0000007C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Plug-in navigateur –&gt; commentaires direct sur un article</w:t>
      </w:r>
    </w:p>
    <w:p w:rsidR="00000000" w:rsidDel="00000000" w:rsidP="00000000" w:rsidRDefault="00000000" w:rsidRPr="00000000" w14:paraId="0000007D">
      <w:pPr>
        <w:numPr>
          <w:ilvl w:val="0"/>
          <w:numId w:val="16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Falsification possible des études</w:t>
      </w:r>
    </w:p>
    <w:p w:rsidR="00000000" w:rsidDel="00000000" w:rsidP="00000000" w:rsidRDefault="00000000" w:rsidRPr="00000000" w14:paraId="0000007E">
      <w:pPr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</w:rPr>
        <w:drawing>
          <wp:inline distB="114300" distT="114300" distL="114300" distR="114300">
            <wp:extent cx="5731200" cy="2857500"/>
            <wp:effectExtent b="0" l="0" r="0" t="0"/>
            <wp:docPr id="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numPr>
          <w:ilvl w:val="0"/>
          <w:numId w:val="6"/>
        </w:numPr>
        <w:spacing w:after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Mesure de l'impact éditorial</w:t>
      </w:r>
    </w:p>
    <w:p w:rsidR="00000000" w:rsidDel="00000000" w:rsidP="00000000" w:rsidRDefault="00000000" w:rsidRPr="00000000" w14:paraId="00000080">
      <w:pPr>
        <w:spacing w:after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Science, nature, THE LANCET, The New england journal of medicine</w:t>
      </w:r>
    </w:p>
    <w:p w:rsidR="00000000" w:rsidDel="00000000" w:rsidP="00000000" w:rsidRDefault="00000000" w:rsidRPr="00000000" w14:paraId="00000081">
      <w:pPr>
        <w:numPr>
          <w:ilvl w:val="0"/>
          <w:numId w:val="21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shd w:fill="f1c40f" w:val="clear"/>
          <w:rtl w:val="0"/>
        </w:rPr>
        <w:t xml:space="preserve">IF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–&gt; </w:t>
      </w: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facteur d'impact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, moyenne des nombres de citations des articles de cette revues publiés sur les 2 dernières années. Mesure à peu près le prestige de la revue. Outil le plus simple et reconnu.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&lt;5 = sujet très pointu, peu prestigieux.</w:t>
      </w:r>
    </w:p>
    <w:p w:rsidR="00000000" w:rsidDel="00000000" w:rsidP="00000000" w:rsidRDefault="00000000" w:rsidRPr="00000000" w14:paraId="00000082">
      <w:pPr>
        <w:numPr>
          <w:ilvl w:val="0"/>
          <w:numId w:val="21"/>
        </w:numPr>
        <w:spacing w:after="240" w:before="0" w:beforeAutospacing="0" w:lineRule="auto"/>
        <w:ind w:left="72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shd w:fill="f1c40f" w:val="clear"/>
          <w:rtl w:val="0"/>
        </w:rPr>
        <w:t xml:space="preserve">Indicateur </w:t>
      </w:r>
      <w:r w:rsidDel="00000000" w:rsidR="00000000" w:rsidRPr="00000000">
        <w:rPr>
          <w:rFonts w:ascii="Titillium Web" w:cs="Titillium Web" w:eastAsia="Titillium Web" w:hAnsi="Titillium Web"/>
          <w:b w:val="1"/>
          <w:color w:val="e74c3c"/>
          <w:shd w:fill="f1c40f" w:val="clear"/>
          <w:rtl w:val="0"/>
        </w:rPr>
        <w:t xml:space="preserve">SJR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---&gt; </w:t>
      </w:r>
      <w:r w:rsidDel="00000000" w:rsidR="00000000" w:rsidRPr="00000000">
        <w:rPr>
          <w:rFonts w:ascii="Titillium Web" w:cs="Titillium Web" w:eastAsia="Titillium Web" w:hAnsi="Titillium Web"/>
          <w:i w:val="1"/>
          <w:rtl w:val="0"/>
        </w:rPr>
        <w:t xml:space="preserve">quartile 1 = les meilleurs revues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br w:type="textWrapping"/>
        <w:t xml:space="preserve"> ; indicateur plus fiable mais pas absolu. ex : un Q3 n'est pas forcément faux mais il faut être vigilant.</w:t>
      </w:r>
    </w:p>
    <w:p w:rsidR="00000000" w:rsidDel="00000000" w:rsidP="00000000" w:rsidRDefault="00000000" w:rsidRPr="00000000" w14:paraId="00000083">
      <w:pPr>
        <w:spacing w:after="240" w:before="240" w:lineRule="auto"/>
        <w:ind w:left="0" w:firstLine="0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numPr>
          <w:ilvl w:val="0"/>
          <w:numId w:val="7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Mesure de l'impact social</w:t>
      </w:r>
    </w:p>
    <w:p w:rsidR="00000000" w:rsidDel="00000000" w:rsidP="00000000" w:rsidRDefault="00000000" w:rsidRPr="00000000" w14:paraId="00000085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color w:val="e74c3c"/>
          <w:shd w:fill="f1c40f" w:val="clear"/>
          <w:rtl w:val="0"/>
        </w:rPr>
        <w:t xml:space="preserve">Altmétrics</w:t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 : suit une série de sources, sonde le web et dit où est citée l'étude (facebook, twitter, blogs, wikipedia etc...). Plug-in.</w:t>
      </w:r>
    </w:p>
    <w:p w:rsidR="00000000" w:rsidDel="00000000" w:rsidP="00000000" w:rsidRDefault="00000000" w:rsidRPr="00000000" w14:paraId="00000086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40" w:before="240" w:lineRule="auto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numPr>
          <w:ilvl w:val="0"/>
          <w:numId w:val="14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Evaluation des études scientifiques</w:t>
      </w:r>
    </w:p>
    <w:p w:rsidR="00000000" w:rsidDel="00000000" w:rsidP="00000000" w:rsidRDefault="00000000" w:rsidRPr="00000000" w14:paraId="00000089">
      <w:pPr>
        <w:numPr>
          <w:ilvl w:val="1"/>
          <w:numId w:val="14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Nombre de citations et âge de l'étude : une étude récente peut être plus intéressante mais à moins de chance d'avoir été débunkée.</w:t>
      </w:r>
    </w:p>
    <w:p w:rsidR="00000000" w:rsidDel="00000000" w:rsidP="00000000" w:rsidRDefault="00000000" w:rsidRPr="00000000" w14:paraId="0000008A">
      <w:pPr>
        <w:numPr>
          <w:ilvl w:val="1"/>
          <w:numId w:val="14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Réputation de la revue (IF, SJR)</w:t>
      </w:r>
    </w:p>
    <w:p w:rsidR="00000000" w:rsidDel="00000000" w:rsidP="00000000" w:rsidRDefault="00000000" w:rsidRPr="00000000" w14:paraId="0000008B">
      <w:pPr>
        <w:numPr>
          <w:ilvl w:val="1"/>
          <w:numId w:val="14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Réputation d'un chercheur</w:t>
      </w:r>
    </w:p>
    <w:p w:rsidR="00000000" w:rsidDel="00000000" w:rsidP="00000000" w:rsidRDefault="00000000" w:rsidRPr="00000000" w14:paraId="0000008C">
      <w:pPr>
        <w:numPr>
          <w:ilvl w:val="1"/>
          <w:numId w:val="14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Analyse critique du contenu de l'article</w:t>
      </w:r>
    </w:p>
    <w:p w:rsidR="00000000" w:rsidDel="00000000" w:rsidP="00000000" w:rsidRDefault="00000000" w:rsidRPr="00000000" w14:paraId="0000008D">
      <w:pPr>
        <w:numPr>
          <w:ilvl w:val="1"/>
          <w:numId w:val="14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Commentaires PubPeer</w:t>
      </w:r>
    </w:p>
    <w:p w:rsidR="00000000" w:rsidDel="00000000" w:rsidP="00000000" w:rsidRDefault="00000000" w:rsidRPr="00000000" w14:paraId="0000008E">
      <w:pPr>
        <w:numPr>
          <w:ilvl w:val="1"/>
          <w:numId w:val="14"/>
        </w:numPr>
        <w:spacing w:after="24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Impact selon Altmetrics</w:t>
      </w:r>
    </w:p>
    <w:p w:rsidR="00000000" w:rsidDel="00000000" w:rsidP="00000000" w:rsidRDefault="00000000" w:rsidRPr="00000000" w14:paraId="0000008F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numPr>
          <w:ilvl w:val="0"/>
          <w:numId w:val="11"/>
        </w:numPr>
        <w:spacing w:after="240" w:before="240" w:lineRule="auto"/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Un site de références</w:t>
        <w:br w:type="textWrapping"/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Our world in Data</w:t>
      </w:r>
    </w:p>
    <w:p w:rsidR="00000000" w:rsidDel="00000000" w:rsidP="00000000" w:rsidRDefault="00000000" w:rsidRPr="00000000" w14:paraId="00000091">
      <w:pP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numPr>
          <w:ilvl w:val="0"/>
          <w:numId w:val="1"/>
        </w:numPr>
        <w:spacing w:after="0" w:afterAutospacing="0" w:before="240" w:lineRule="auto"/>
        <w:ind w:left="720" w:hanging="360"/>
        <w:jc w:val="both"/>
        <w:rPr>
          <w:rFonts w:ascii="Titillium Web" w:cs="Titillium Web" w:eastAsia="Titillium Web" w:hAnsi="Titillium Web"/>
          <w:b w:val="1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Réf à suivre</w:t>
      </w:r>
    </w:p>
    <w:p w:rsidR="00000000" w:rsidDel="00000000" w:rsidP="00000000" w:rsidRDefault="00000000" w:rsidRPr="00000000" w14:paraId="00000093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Vulgarisateurs scientifiques</w:t>
      </w:r>
    </w:p>
    <w:p w:rsidR="00000000" w:rsidDel="00000000" w:rsidP="00000000" w:rsidRDefault="00000000" w:rsidRPr="00000000" w14:paraId="00000094">
      <w:pPr>
        <w:numPr>
          <w:ilvl w:val="2"/>
          <w:numId w:val="1"/>
        </w:numPr>
        <w:spacing w:after="0" w:afterAutospacing="0" w:before="0" w:beforeAutospacing="0" w:lineRule="auto"/>
        <w:ind w:left="216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Science4All</w:t>
      </w:r>
    </w:p>
    <w:p w:rsidR="00000000" w:rsidDel="00000000" w:rsidP="00000000" w:rsidRDefault="00000000" w:rsidRPr="00000000" w14:paraId="00000095">
      <w:pPr>
        <w:numPr>
          <w:ilvl w:val="2"/>
          <w:numId w:val="1"/>
        </w:numPr>
        <w:spacing w:after="0" w:afterAutospacing="0" w:before="0" w:beforeAutospacing="0" w:lineRule="auto"/>
        <w:ind w:left="216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Dirty Biology</w:t>
      </w:r>
    </w:p>
    <w:p w:rsidR="00000000" w:rsidDel="00000000" w:rsidP="00000000" w:rsidRDefault="00000000" w:rsidRPr="00000000" w14:paraId="00000096">
      <w:pPr>
        <w:numPr>
          <w:ilvl w:val="2"/>
          <w:numId w:val="1"/>
        </w:numPr>
        <w:spacing w:after="0" w:afterAutospacing="0" w:before="0" w:beforeAutospacing="0" w:lineRule="auto"/>
        <w:ind w:left="216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Science Etonnante</w:t>
      </w:r>
    </w:p>
    <w:p w:rsidR="00000000" w:rsidDel="00000000" w:rsidP="00000000" w:rsidRDefault="00000000" w:rsidRPr="00000000" w14:paraId="00000097">
      <w:pPr>
        <w:numPr>
          <w:ilvl w:val="2"/>
          <w:numId w:val="1"/>
        </w:numPr>
        <w:spacing w:after="0" w:afterAutospacing="0" w:before="0" w:beforeAutospacing="0" w:lineRule="auto"/>
        <w:ind w:left="216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Scilabus</w:t>
      </w:r>
    </w:p>
    <w:p w:rsidR="00000000" w:rsidDel="00000000" w:rsidP="00000000" w:rsidRDefault="00000000" w:rsidRPr="00000000" w14:paraId="00000098">
      <w:pPr>
        <w:numPr>
          <w:ilvl w:val="0"/>
          <w:numId w:val="19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Esprit critique, zéttétique, sceptiscisme</w:t>
      </w:r>
    </w:p>
    <w:p w:rsidR="00000000" w:rsidDel="00000000" w:rsidP="00000000" w:rsidRDefault="00000000" w:rsidRPr="00000000" w14:paraId="00000099">
      <w:pPr>
        <w:numPr>
          <w:ilvl w:val="2"/>
          <w:numId w:val="19"/>
        </w:numPr>
        <w:spacing w:after="0" w:afterAutospacing="0" w:before="0" w:beforeAutospacing="0" w:lineRule="auto"/>
        <w:ind w:left="288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Chat sceptique</w:t>
      </w:r>
    </w:p>
    <w:p w:rsidR="00000000" w:rsidDel="00000000" w:rsidP="00000000" w:rsidRDefault="00000000" w:rsidRPr="00000000" w14:paraId="0000009A">
      <w:pPr>
        <w:numPr>
          <w:ilvl w:val="2"/>
          <w:numId w:val="19"/>
        </w:numPr>
        <w:spacing w:after="0" w:afterAutospacing="0" w:before="0" w:beforeAutospacing="0" w:lineRule="auto"/>
        <w:ind w:left="288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Hygiène mentale</w:t>
      </w:r>
    </w:p>
    <w:p w:rsidR="00000000" w:rsidDel="00000000" w:rsidP="00000000" w:rsidRDefault="00000000" w:rsidRPr="00000000" w14:paraId="0000009B">
      <w:pPr>
        <w:numPr>
          <w:ilvl w:val="2"/>
          <w:numId w:val="19"/>
        </w:numPr>
        <w:spacing w:after="0" w:afterAutospacing="0" w:before="0" w:beforeAutospacing="0" w:lineRule="auto"/>
        <w:ind w:left="288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Vlanx</w:t>
        <w:br w:type="textWrapping"/>
      </w:r>
    </w:p>
    <w:p w:rsidR="00000000" w:rsidDel="00000000" w:rsidP="00000000" w:rsidRDefault="00000000" w:rsidRPr="00000000" w14:paraId="0000009C">
      <w:pPr>
        <w:numPr>
          <w:ilvl w:val="0"/>
          <w:numId w:val="19"/>
        </w:numPr>
        <w:spacing w:after="0" w:afterAutospacing="0" w:before="0" w:beforeAutospacing="0" w:lineRule="auto"/>
        <w:ind w:left="144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u w:val="single"/>
          <w:rtl w:val="0"/>
        </w:rPr>
        <w:t xml:space="preserve">Pour aller plus loin</w:t>
      </w:r>
    </w:p>
    <w:p w:rsidR="00000000" w:rsidDel="00000000" w:rsidP="00000000" w:rsidRDefault="00000000" w:rsidRPr="00000000" w14:paraId="0000009D">
      <w:pPr>
        <w:numPr>
          <w:ilvl w:val="2"/>
          <w:numId w:val="19"/>
        </w:numPr>
        <w:spacing w:after="0" w:afterAutospacing="0" w:before="0" w:beforeAutospacing="0" w:lineRule="auto"/>
        <w:ind w:left="288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Homo Fabulus</w:t>
      </w:r>
    </w:p>
    <w:p w:rsidR="00000000" w:rsidDel="00000000" w:rsidP="00000000" w:rsidRDefault="00000000" w:rsidRPr="00000000" w14:paraId="0000009E">
      <w:pPr>
        <w:numPr>
          <w:ilvl w:val="2"/>
          <w:numId w:val="19"/>
        </w:numPr>
        <w:spacing w:after="0" w:afterAutospacing="0" w:before="0" w:beforeAutospacing="0" w:lineRule="auto"/>
        <w:ind w:left="2880" w:hanging="360"/>
        <w:jc w:val="both"/>
        <w:rPr>
          <w:rFonts w:ascii="Titillium Web" w:cs="Titillium Web" w:eastAsia="Titillium Web" w:hAnsi="Titillium Web"/>
        </w:rPr>
      </w:pP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Monsieur Phi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numPr>
          <w:ilvl w:val="0"/>
          <w:numId w:val="9"/>
        </w:numPr>
        <w:spacing w:after="240" w:before="0" w:beforeAutospacing="0" w:lineRule="auto"/>
        <w:ind w:left="720" w:hanging="360"/>
        <w:jc w:val="both"/>
        <w:rPr>
          <w:rFonts w:ascii="Titillium Web" w:cs="Titillium Web" w:eastAsia="Titillium Web" w:hAnsi="Titillium Web"/>
          <w:u w:val="none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Tips</w:t>
        <w:br w:type="textWrapping"/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Citer en bibliographie --&gt; </w:t>
      </w:r>
      <w:r w:rsidDel="00000000" w:rsidR="00000000" w:rsidRPr="00000000">
        <w:rPr>
          <w:rFonts w:ascii="Titillium Web" w:cs="Titillium Web" w:eastAsia="Titillium Web" w:hAnsi="Titillium Web"/>
          <w:b w:val="1"/>
          <w:rtl w:val="0"/>
        </w:rPr>
        <w:t xml:space="preserve">Norme APA</w:t>
        <w:br w:type="textWrapping"/>
      </w:r>
      <w:r w:rsidDel="00000000" w:rsidR="00000000" w:rsidRPr="00000000">
        <w:rPr>
          <w:rFonts w:ascii="Titillium Web" w:cs="Titillium Web" w:eastAsia="Titillium Web" w:hAnsi="Titillium Web"/>
          <w:rtl w:val="0"/>
        </w:rPr>
        <w:t xml:space="preserve">Pour citer dans le texte tu mets (Porre et Nemecek, 2018)</w:t>
        <w:br w:type="textWrapping"/>
        <w:t xml:space="preserve">Bouton pour Altmetrics sur la chaîne de Scilabus</w:t>
        <w:br w:type="textWrapping"/>
        <w:t xml:space="preserve">Nom 1er chercheur, .al</w:t>
      </w:r>
      <w:r w:rsidDel="00000000" w:rsidR="00000000" w:rsidRPr="00000000">
        <w:rPr>
          <w:rtl w:val="0"/>
        </w:rPr>
      </w:r>
    </w:p>
    <w:sectPr>
      <w:headerReference r:id="rId20" w:type="default"/>
      <w:footerReference r:id="rId21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tillium Web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va Mono">
    <w:embedRegular w:fontKey="{00000000-0000-0000-0000-000000000000}" r:id="rId5" w:subsetted="0"/>
  </w:font>
  <w:font w:name="PT Mono">
    <w:embedRegular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3">
    <w:pPr>
      <w:rPr/>
    </w:pPr>
    <w:r w:rsidDel="00000000" w:rsidR="00000000" w:rsidRPr="00000000">
      <w:rPr>
        <w:rtl w:val="0"/>
      </w:rPr>
      <w:tab/>
      <w:tab/>
      <w:tab/>
      <w:tab/>
      <w:tab/>
      <w:tab/>
      <w:tab/>
      <w:tab/>
      <w:tab/>
      <w:tab/>
      <w:tab/>
      <w:tab/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0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4819650</wp:posOffset>
          </wp:positionH>
          <wp:positionV relativeFrom="paragraph">
            <wp:posOffset>-104774</wp:posOffset>
          </wp:positionV>
          <wp:extent cx="1357313" cy="254178"/>
          <wp:effectExtent b="0" l="0" r="0" t="0"/>
          <wp:wrapNone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357313" cy="254178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-523874</wp:posOffset>
          </wp:positionH>
          <wp:positionV relativeFrom="paragraph">
            <wp:posOffset>-219074</wp:posOffset>
          </wp:positionV>
          <wp:extent cx="934140" cy="481013"/>
          <wp:effectExtent b="0" l="0" r="0" t="0"/>
          <wp:wrapNone/>
          <wp:docPr id="6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34140" cy="48101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A1">
    <w:pPr>
      <w:jc w:val="center"/>
      <w:rPr/>
    </w:pPr>
    <w:r w:rsidDel="00000000" w:rsidR="00000000" w:rsidRPr="00000000">
      <w:pict>
        <v:rect style="width:0.0pt;height:1.5pt" o:hr="t" o:hrstd="t" o:hralign="center" fillcolor="#A0A0A0" stroked="f"/>
      </w:pic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2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hyperlink" Target="https://fr.wikipedia.org/wiki/Hypoth%C3%A8se" TargetMode="External"/><Relationship Id="rId10" Type="http://schemas.openxmlformats.org/officeDocument/2006/relationships/hyperlink" Target="https://fr.wikipedia.org/wiki/Information" TargetMode="External"/><Relationship Id="rId21" Type="http://schemas.openxmlformats.org/officeDocument/2006/relationships/footer" Target="footer1.xml"/><Relationship Id="rId13" Type="http://schemas.openxmlformats.org/officeDocument/2006/relationships/image" Target="media/image7.jpg"/><Relationship Id="rId12" Type="http://schemas.openxmlformats.org/officeDocument/2006/relationships/hyperlink" Target="https://fr.wikipedia.org/wiki/Statistique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1.png"/><Relationship Id="rId15" Type="http://schemas.openxmlformats.org/officeDocument/2006/relationships/image" Target="media/image3.jpg"/><Relationship Id="rId14" Type="http://schemas.openxmlformats.org/officeDocument/2006/relationships/image" Target="media/image4.gif"/><Relationship Id="rId17" Type="http://schemas.openxmlformats.org/officeDocument/2006/relationships/hyperlink" Target="https://doi.org/10" TargetMode="External"/><Relationship Id="rId16" Type="http://schemas.openxmlformats.org/officeDocument/2006/relationships/image" Target="media/image6.jpg"/><Relationship Id="rId5" Type="http://schemas.openxmlformats.org/officeDocument/2006/relationships/styles" Target="styles.xml"/><Relationship Id="rId19" Type="http://schemas.openxmlformats.org/officeDocument/2006/relationships/image" Target="media/image8.jpg"/><Relationship Id="rId6" Type="http://schemas.openxmlformats.org/officeDocument/2006/relationships/image" Target="media/image2.jpg"/><Relationship Id="rId18" Type="http://schemas.openxmlformats.org/officeDocument/2006/relationships/hyperlink" Target="https://doi.org/10" TargetMode="External"/><Relationship Id="rId7" Type="http://schemas.openxmlformats.org/officeDocument/2006/relationships/image" Target="media/image5.jpg"/><Relationship Id="rId8" Type="http://schemas.openxmlformats.org/officeDocument/2006/relationships/image" Target="media/image1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itilliumWeb-regular.ttf"/><Relationship Id="rId2" Type="http://schemas.openxmlformats.org/officeDocument/2006/relationships/font" Target="fonts/TitilliumWeb-bold.ttf"/><Relationship Id="rId3" Type="http://schemas.openxmlformats.org/officeDocument/2006/relationships/font" Target="fonts/TitilliumWeb-italic.ttf"/><Relationship Id="rId4" Type="http://schemas.openxmlformats.org/officeDocument/2006/relationships/font" Target="fonts/TitilliumWeb-boldItalic.ttf"/><Relationship Id="rId5" Type="http://schemas.openxmlformats.org/officeDocument/2006/relationships/font" Target="fonts/NovaMono-regular.ttf"/><Relationship Id="rId6" Type="http://schemas.openxmlformats.org/officeDocument/2006/relationships/font" Target="fonts/PTMono-regular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