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both"/>
        <w:rPr>
          <w:rFonts w:ascii="Titillium Web" w:cs="Titillium Web" w:eastAsia="Titillium Web" w:hAnsi="Titillium Web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240" w:before="240" w:lineRule="auto"/>
        <w:jc w:val="center"/>
        <w:rPr>
          <w:rFonts w:ascii="Titillium Web" w:cs="Titillium Web" w:eastAsia="Titillium Web" w:hAnsi="Titillium Web"/>
          <w:b w:val="1"/>
          <w:sz w:val="36"/>
          <w:szCs w:val="36"/>
        </w:rPr>
      </w:pPr>
      <w:r w:rsidDel="00000000" w:rsidR="00000000" w:rsidRPr="00000000">
        <w:rPr>
          <w:rFonts w:ascii="Titillium Web" w:cs="Titillium Web" w:eastAsia="Titillium Web" w:hAnsi="Titillium Web"/>
          <w:b w:val="1"/>
          <w:sz w:val="36"/>
          <w:szCs w:val="36"/>
          <w:rtl w:val="0"/>
        </w:rPr>
        <w:t xml:space="preserve">APALA - Alimentation soutenable</w:t>
      </w:r>
    </w:p>
    <w:tbl>
      <w:tblPr>
        <w:tblStyle w:val="Table1"/>
        <w:tblW w:w="9025.511811023622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1989.328074985481"/>
        <w:gridCol w:w="2442.151780770114"/>
        <w:gridCol w:w="3080.749314568955"/>
        <w:gridCol w:w="1513.282640699072"/>
        <w:tblGridChange w:id="0">
          <w:tblGrid>
            <w:gridCol w:w="1989.328074985481"/>
            <w:gridCol w:w="2442.151780770114"/>
            <w:gridCol w:w="3080.749314568955"/>
            <w:gridCol w:w="1513.282640699072"/>
          </w:tblGrid>
        </w:tblGridChange>
      </w:tblGrid>
      <w:tr>
        <w:trPr>
          <w:cantSplit w:val="0"/>
          <w:trHeight w:val="635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3">
            <w:pPr>
              <w:jc w:val="both"/>
              <w:rPr>
                <w:rFonts w:ascii="Titillium Web" w:cs="Titillium Web" w:eastAsia="Titillium Web" w:hAnsi="Titillium Web"/>
              </w:rPr>
            </w:pPr>
            <w:r w:rsidDel="00000000" w:rsidR="00000000" w:rsidRPr="00000000">
              <w:rPr>
                <w:rFonts w:ascii="Titillium Web" w:cs="Titillium Web" w:eastAsia="Titillium Web" w:hAnsi="Titillium Web"/>
                <w:rtl w:val="0"/>
              </w:rPr>
              <w:t xml:space="preserve">Date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both"/>
              <w:rPr>
                <w:rFonts w:ascii="Titillium Web" w:cs="Titillium Web" w:eastAsia="Titillium Web" w:hAnsi="Titillium Web"/>
              </w:rPr>
            </w:pPr>
            <w:r w:rsidDel="00000000" w:rsidR="00000000" w:rsidRPr="00000000">
              <w:rPr>
                <w:rFonts w:ascii="Titillium Web" w:cs="Titillium Web" w:eastAsia="Titillium Web" w:hAnsi="Titillium Web"/>
                <w:rtl w:val="0"/>
              </w:rPr>
              <w:t xml:space="preserve">Lieu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both"/>
              <w:rPr>
                <w:rFonts w:ascii="Titillium Web" w:cs="Titillium Web" w:eastAsia="Titillium Web" w:hAnsi="Titillium Web"/>
              </w:rPr>
            </w:pPr>
            <w:r w:rsidDel="00000000" w:rsidR="00000000" w:rsidRPr="00000000">
              <w:rPr>
                <w:rFonts w:ascii="Titillium Web" w:cs="Titillium Web" w:eastAsia="Titillium Web" w:hAnsi="Titillium Web"/>
                <w:rtl w:val="0"/>
              </w:rPr>
              <w:t xml:space="preserve">Intervenant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both"/>
              <w:rPr>
                <w:rFonts w:ascii="Titillium Web" w:cs="Titillium Web" w:eastAsia="Titillium Web" w:hAnsi="Titillium Web"/>
              </w:rPr>
            </w:pPr>
            <w:r w:rsidDel="00000000" w:rsidR="00000000" w:rsidRPr="00000000">
              <w:rPr>
                <w:rFonts w:ascii="Titillium Web" w:cs="Titillium Web" w:eastAsia="Titillium Web" w:hAnsi="Titillium Web"/>
                <w:rtl w:val="0"/>
              </w:rPr>
              <w:t xml:space="preserve">Présents</w:t>
            </w:r>
          </w:p>
        </w:tc>
      </w:tr>
      <w:tr>
        <w:trPr>
          <w:cantSplit w:val="0"/>
          <w:trHeight w:val="635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both"/>
              <w:rPr>
                <w:rFonts w:ascii="Titillium Web" w:cs="Titillium Web" w:eastAsia="Titillium Web" w:hAnsi="Titillium Web"/>
              </w:rPr>
            </w:pPr>
            <w:r w:rsidDel="00000000" w:rsidR="00000000" w:rsidRPr="00000000">
              <w:rPr>
                <w:rFonts w:ascii="Titillium Web" w:cs="Titillium Web" w:eastAsia="Titillium Web" w:hAnsi="Titillium Web"/>
                <w:rtl w:val="0"/>
              </w:rPr>
              <w:t xml:space="preserve">13/09/2022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both"/>
              <w:rPr>
                <w:rFonts w:ascii="Titillium Web" w:cs="Titillium Web" w:eastAsia="Titillium Web" w:hAnsi="Titillium Web"/>
              </w:rPr>
            </w:pPr>
            <w:r w:rsidDel="00000000" w:rsidR="00000000" w:rsidRPr="00000000">
              <w:rPr>
                <w:rFonts w:ascii="Titillium Web" w:cs="Titillium Web" w:eastAsia="Titillium Web" w:hAnsi="Titillium Web"/>
                <w:rtl w:val="0"/>
              </w:rPr>
              <w:t xml:space="preserve">T127 Centrale Nantes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both"/>
              <w:rPr>
                <w:rFonts w:ascii="Titillium Web" w:cs="Titillium Web" w:eastAsia="Titillium Web" w:hAnsi="Titillium Web"/>
              </w:rPr>
            </w:pPr>
            <w:r w:rsidDel="00000000" w:rsidR="00000000" w:rsidRPr="00000000">
              <w:rPr>
                <w:rFonts w:ascii="Titillium Web" w:cs="Titillium Web" w:eastAsia="Titillium Web" w:hAnsi="Titillium Web"/>
                <w:rtl w:val="0"/>
              </w:rPr>
              <w:t xml:space="preserve">Jonathan Guéguen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both"/>
              <w:rPr>
                <w:rFonts w:ascii="Titillium Web" w:cs="Titillium Web" w:eastAsia="Titillium Web" w:hAnsi="Titillium Web"/>
              </w:rPr>
            </w:pPr>
            <w:r w:rsidDel="00000000" w:rsidR="00000000" w:rsidRPr="00000000">
              <w:rPr>
                <w:rFonts w:ascii="Titillium Web" w:cs="Titillium Web" w:eastAsia="Titillium Web" w:hAnsi="Titillium Web"/>
                <w:rtl w:val="0"/>
              </w:rPr>
              <w:t xml:space="preserve">Tous</w:t>
            </w:r>
          </w:p>
        </w:tc>
      </w:tr>
    </w:tbl>
    <w:p w:rsidR="00000000" w:rsidDel="00000000" w:rsidP="00000000" w:rsidRDefault="00000000" w:rsidRPr="00000000" w14:paraId="0000000B">
      <w:pPr>
        <w:pBdr>
          <w:left w:color="f1c232" w:space="2" w:sz="24" w:val="single"/>
        </w:pBdr>
        <w:spacing w:after="240" w:before="240" w:lineRule="auto"/>
        <w:jc w:val="both"/>
        <w:rPr>
          <w:rFonts w:ascii="Titillium Web" w:cs="Titillium Web" w:eastAsia="Titillium Web" w:hAnsi="Titillium Web"/>
        </w:rPr>
      </w:pPr>
      <w:r w:rsidDel="00000000" w:rsidR="00000000" w:rsidRPr="00000000">
        <w:rPr>
          <w:rFonts w:ascii="Titillium Web" w:cs="Titillium Web" w:eastAsia="Titillium Web" w:hAnsi="Titillium Web"/>
          <w:b w:val="1"/>
          <w:rtl w:val="0"/>
        </w:rPr>
        <w:t xml:space="preserve">Sommaire</w:t>
      </w:r>
      <w:r w:rsidDel="00000000" w:rsidR="00000000" w:rsidRPr="00000000">
        <w:rPr>
          <w:rFonts w:ascii="Titillium Web" w:cs="Titillium Web" w:eastAsia="Titillium Web" w:hAnsi="Titillium Web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after="0" w:afterAutospacing="0" w:before="240" w:lineRule="auto"/>
        <w:ind w:left="720" w:hanging="360"/>
        <w:jc w:val="both"/>
        <w:rPr>
          <w:rFonts w:ascii="Titillium Web" w:cs="Titillium Web" w:eastAsia="Titillium Web" w:hAnsi="Titillium Web"/>
          <w:b w:val="1"/>
          <w:u w:val="none"/>
        </w:rPr>
      </w:pPr>
      <w:r w:rsidDel="00000000" w:rsidR="00000000" w:rsidRPr="00000000">
        <w:rPr>
          <w:rFonts w:ascii="Titillium Web" w:cs="Titillium Web" w:eastAsia="Titillium Web" w:hAnsi="Titillium Web"/>
          <w:b w:val="1"/>
          <w:rtl w:val="0"/>
        </w:rPr>
        <w:t xml:space="preserve">Introduction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after="0" w:afterAutospacing="0" w:before="0" w:beforeAutospacing="0" w:lineRule="auto"/>
        <w:ind w:left="1440" w:hanging="360"/>
        <w:jc w:val="both"/>
        <w:rPr>
          <w:rFonts w:ascii="Titillium Web" w:cs="Titillium Web" w:eastAsia="Titillium Web" w:hAnsi="Titillium Web"/>
          <w:b w:val="1"/>
          <w:u w:val="none"/>
        </w:rPr>
      </w:pPr>
      <w:r w:rsidDel="00000000" w:rsidR="00000000" w:rsidRPr="00000000">
        <w:rPr>
          <w:rFonts w:ascii="Titillium Web" w:cs="Titillium Web" w:eastAsia="Titillium Web" w:hAnsi="Titillium Web"/>
          <w:b w:val="1"/>
          <w:rtl w:val="0"/>
        </w:rPr>
        <w:t xml:space="preserve">En France, dans le monde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spacing w:after="0" w:afterAutospacing="0" w:before="0" w:beforeAutospacing="0" w:lineRule="auto"/>
        <w:ind w:left="1440" w:hanging="360"/>
        <w:jc w:val="both"/>
        <w:rPr>
          <w:rFonts w:ascii="Titillium Web" w:cs="Titillium Web" w:eastAsia="Titillium Web" w:hAnsi="Titillium Web"/>
          <w:b w:val="1"/>
          <w:u w:val="none"/>
        </w:rPr>
      </w:pPr>
      <w:r w:rsidDel="00000000" w:rsidR="00000000" w:rsidRPr="00000000">
        <w:rPr>
          <w:rFonts w:ascii="Titillium Web" w:cs="Titillium Web" w:eastAsia="Titillium Web" w:hAnsi="Titillium Web"/>
          <w:b w:val="1"/>
          <w:rtl w:val="0"/>
        </w:rPr>
        <w:t xml:space="preserve">Notion de sentience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jc w:val="both"/>
        <w:rPr>
          <w:rFonts w:ascii="Titillium Web" w:cs="Titillium Web" w:eastAsia="Titillium Web" w:hAnsi="Titillium Web"/>
          <w:b w:val="1"/>
          <w:u w:val="none"/>
        </w:rPr>
      </w:pPr>
      <w:r w:rsidDel="00000000" w:rsidR="00000000" w:rsidRPr="00000000">
        <w:rPr>
          <w:rFonts w:ascii="Titillium Web" w:cs="Titillium Web" w:eastAsia="Titillium Web" w:hAnsi="Titillium Web"/>
          <w:b w:val="1"/>
          <w:rtl w:val="0"/>
        </w:rPr>
        <w:t xml:space="preserve">Place de l’homme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spacing w:after="0" w:afterAutospacing="0" w:before="0" w:beforeAutospacing="0" w:lineRule="auto"/>
        <w:ind w:left="1440" w:hanging="360"/>
        <w:jc w:val="both"/>
        <w:rPr>
          <w:rFonts w:ascii="Titillium Web" w:cs="Titillium Web" w:eastAsia="Titillium Web" w:hAnsi="Titillium Web"/>
          <w:b w:val="1"/>
          <w:u w:val="none"/>
        </w:rPr>
      </w:pPr>
      <w:r w:rsidDel="00000000" w:rsidR="00000000" w:rsidRPr="00000000">
        <w:rPr>
          <w:rFonts w:ascii="Titillium Web" w:cs="Titillium Web" w:eastAsia="Titillium Web" w:hAnsi="Titillium Web"/>
          <w:b w:val="1"/>
          <w:rtl w:val="0"/>
        </w:rPr>
        <w:t xml:space="preserve">Niveau trophique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jc w:val="both"/>
        <w:rPr>
          <w:rFonts w:ascii="Titillium Web" w:cs="Titillium Web" w:eastAsia="Titillium Web" w:hAnsi="Titillium Web"/>
          <w:b w:val="1"/>
          <w:u w:val="none"/>
        </w:rPr>
      </w:pPr>
      <w:r w:rsidDel="00000000" w:rsidR="00000000" w:rsidRPr="00000000">
        <w:rPr>
          <w:rFonts w:ascii="Titillium Web" w:cs="Titillium Web" w:eastAsia="Titillium Web" w:hAnsi="Titillium Web"/>
          <w:b w:val="1"/>
          <w:rtl w:val="0"/>
        </w:rPr>
        <w:t xml:space="preserve">Consommer mieux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spacing w:after="0" w:afterAutospacing="0" w:before="0" w:beforeAutospacing="0" w:lineRule="auto"/>
        <w:ind w:left="1440" w:hanging="360"/>
        <w:jc w:val="both"/>
        <w:rPr>
          <w:rFonts w:ascii="Titillium Web" w:cs="Titillium Web" w:eastAsia="Titillium Web" w:hAnsi="Titillium Web"/>
          <w:b w:val="1"/>
          <w:u w:val="none"/>
        </w:rPr>
      </w:pPr>
      <w:r w:rsidDel="00000000" w:rsidR="00000000" w:rsidRPr="00000000">
        <w:rPr>
          <w:rFonts w:ascii="Titillium Web" w:cs="Titillium Web" w:eastAsia="Titillium Web" w:hAnsi="Titillium Web"/>
          <w:b w:val="1"/>
          <w:rtl w:val="0"/>
        </w:rPr>
        <w:t xml:space="preserve">Opportunité alimentaire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after="240" w:before="0" w:beforeAutospacing="0" w:lineRule="auto"/>
        <w:ind w:left="1440" w:hanging="360"/>
        <w:jc w:val="both"/>
        <w:rPr>
          <w:rFonts w:ascii="Titillium Web" w:cs="Titillium Web" w:eastAsia="Titillium Web" w:hAnsi="Titillium Web"/>
          <w:b w:val="1"/>
          <w:u w:val="none"/>
        </w:rPr>
      </w:pPr>
      <w:r w:rsidDel="00000000" w:rsidR="00000000" w:rsidRPr="00000000">
        <w:rPr>
          <w:rFonts w:ascii="Titillium Web" w:cs="Titillium Web" w:eastAsia="Titillium Web" w:hAnsi="Titillium Web"/>
          <w:b w:val="1"/>
          <w:rtl w:val="0"/>
        </w:rPr>
        <w:t xml:space="preserve">Régimes alimentaires</w:t>
      </w:r>
    </w:p>
    <w:p w:rsidR="00000000" w:rsidDel="00000000" w:rsidP="00000000" w:rsidRDefault="00000000" w:rsidRPr="00000000" w14:paraId="00000014">
      <w:pPr>
        <w:spacing w:after="240" w:before="240" w:lineRule="auto"/>
        <w:jc w:val="both"/>
        <w:rPr>
          <w:rFonts w:ascii="Titillium Web" w:cs="Titillium Web" w:eastAsia="Titillium Web" w:hAnsi="Titillium Web"/>
        </w:rPr>
      </w:pPr>
      <w:r w:rsidDel="00000000" w:rsidR="00000000" w:rsidRPr="00000000">
        <w:rPr>
          <w:rFonts w:ascii="Titillium Web" w:cs="Titillium Web" w:eastAsia="Titillium Web" w:hAnsi="Titillium Web"/>
          <w:b w:val="1"/>
          <w:rtl w:val="0"/>
        </w:rPr>
        <w:t xml:space="preserve">⚠️ Ce cours ne concerne que le réchauffement climatique !</w:t>
        <w:br w:type="textWrapping"/>
        <w:t xml:space="preserve">⚠️ pas toutes les limites planétaires sont prises en compte !</w:t>
      </w:r>
      <w:r w:rsidDel="00000000" w:rsidR="00000000" w:rsidRPr="00000000">
        <w:rPr>
          <w:rFonts w:ascii="Titillium Web" w:cs="Titillium Web" w:eastAsia="Titillium Web" w:hAnsi="Titillium Web"/>
          <w:rtl w:val="0"/>
        </w:rPr>
        <w:t xml:space="preserve">.</w:t>
      </w:r>
    </w:p>
    <w:p w:rsidR="00000000" w:rsidDel="00000000" w:rsidP="00000000" w:rsidRDefault="00000000" w:rsidRPr="00000000" w14:paraId="00000015">
      <w:pPr>
        <w:numPr>
          <w:ilvl w:val="0"/>
          <w:numId w:val="4"/>
        </w:numPr>
        <w:spacing w:after="240" w:before="240" w:lineRule="auto"/>
        <w:ind w:left="720" w:hanging="360"/>
        <w:jc w:val="both"/>
        <w:rPr>
          <w:rFonts w:ascii="Titillium Web" w:cs="Titillium Web" w:eastAsia="Titillium Web" w:hAnsi="Titillium Web"/>
          <w:b w:val="1"/>
          <w:sz w:val="36"/>
          <w:szCs w:val="36"/>
        </w:rPr>
      </w:pPr>
      <w:r w:rsidDel="00000000" w:rsidR="00000000" w:rsidRPr="00000000">
        <w:rPr>
          <w:rFonts w:ascii="Titillium Web" w:cs="Titillium Web" w:eastAsia="Titillium Web" w:hAnsi="Titillium Web"/>
          <w:b w:val="1"/>
          <w:sz w:val="36"/>
          <w:szCs w:val="36"/>
          <w:rtl w:val="0"/>
        </w:rPr>
        <w:t xml:space="preserve">Introduction</w:t>
      </w:r>
    </w:p>
    <w:p w:rsidR="00000000" w:rsidDel="00000000" w:rsidP="00000000" w:rsidRDefault="00000000" w:rsidRPr="00000000" w14:paraId="00000016">
      <w:pPr>
        <w:spacing w:after="240" w:before="240" w:lineRule="auto"/>
        <w:jc w:val="both"/>
        <w:rPr>
          <w:rFonts w:ascii="Titillium Web" w:cs="Titillium Web" w:eastAsia="Titillium Web" w:hAnsi="Titillium Web"/>
        </w:rPr>
      </w:pPr>
      <w:r w:rsidDel="00000000" w:rsidR="00000000" w:rsidRPr="00000000">
        <w:rPr>
          <w:rFonts w:ascii="Titillium Web" w:cs="Titillium Web" w:eastAsia="Titillium Web" w:hAnsi="Titillium Web"/>
          <w:rtl w:val="0"/>
        </w:rPr>
        <w:t xml:space="preserve">Cours basé sur littérature scientifique, pas grise –&gt; bon niveau de crédence.</w:t>
      </w:r>
    </w:p>
    <w:p w:rsidR="00000000" w:rsidDel="00000000" w:rsidP="00000000" w:rsidRDefault="00000000" w:rsidRPr="00000000" w14:paraId="00000017">
      <w:pPr>
        <w:spacing w:after="240" w:before="240" w:lineRule="auto"/>
        <w:jc w:val="both"/>
        <w:rPr>
          <w:rFonts w:ascii="Titillium Web" w:cs="Titillium Web" w:eastAsia="Titillium Web" w:hAnsi="Titillium Web"/>
        </w:rPr>
      </w:pPr>
      <w:r w:rsidDel="00000000" w:rsidR="00000000" w:rsidRPr="00000000">
        <w:rPr>
          <w:rFonts w:ascii="Titillium Web" w:cs="Titillium Web" w:eastAsia="Titillium Web" w:hAnsi="Titillium Web"/>
          <w:rtl w:val="0"/>
        </w:rPr>
        <w:t xml:space="preserve">En France : 946 millions d'animaux terrestres tués par an. 12 milliards de poissons pêchés par an (16 fois plus que les poulets). Poulets : 11 tués par pers. par an.</w:t>
      </w:r>
    </w:p>
    <w:p w:rsidR="00000000" w:rsidDel="00000000" w:rsidP="00000000" w:rsidRDefault="00000000" w:rsidRPr="00000000" w14:paraId="00000018">
      <w:pPr>
        <w:spacing w:after="240" w:before="240" w:lineRule="auto"/>
        <w:jc w:val="both"/>
        <w:rPr>
          <w:rFonts w:ascii="Titillium Web" w:cs="Titillium Web" w:eastAsia="Titillium Web" w:hAnsi="Titillium Web"/>
        </w:rPr>
      </w:pPr>
      <w:r w:rsidDel="00000000" w:rsidR="00000000" w:rsidRPr="00000000">
        <w:rPr>
          <w:rFonts w:ascii="Titillium Web" w:cs="Titillium Web" w:eastAsia="Titillium Web" w:hAnsi="Titillium Web"/>
          <w:rtl w:val="0"/>
        </w:rPr>
        <w:t xml:space="preserve">Dans le monde : animaux tués terrestres vs marins –&gt; 3,7% en masse terrestre animale VS 96,3% en masse marine.</w:t>
      </w:r>
    </w:p>
    <w:p w:rsidR="00000000" w:rsidDel="00000000" w:rsidP="00000000" w:rsidRDefault="00000000" w:rsidRPr="00000000" w14:paraId="00000019">
      <w:pPr>
        <w:spacing w:after="240" w:before="240" w:lineRule="auto"/>
        <w:jc w:val="both"/>
        <w:rPr>
          <w:rFonts w:ascii="Titillium Web" w:cs="Titillium Web" w:eastAsia="Titillium Web" w:hAnsi="Titillium Web"/>
        </w:rPr>
      </w:pPr>
      <w:r w:rsidDel="00000000" w:rsidR="00000000" w:rsidRPr="00000000">
        <w:rPr>
          <w:rFonts w:ascii="Titillium Web" w:cs="Titillium Web" w:eastAsia="Titillium Web" w:hAnsi="Titillium Web"/>
          <w:i w:val="1"/>
          <w:rtl w:val="0"/>
        </w:rPr>
        <w:t xml:space="preserve">Sentience</w:t>
      </w:r>
      <w:r w:rsidDel="00000000" w:rsidR="00000000" w:rsidRPr="00000000">
        <w:rPr>
          <w:rFonts w:ascii="Titillium Web" w:cs="Titillium Web" w:eastAsia="Titillium Web" w:hAnsi="Titillium Web"/>
          <w:rtl w:val="0"/>
        </w:rPr>
        <w:t xml:space="preserve"> : plusieurs critères pour déterminer la sentience –&gt; faire une expérience personnelle, subjective. Ex : une plante est sensible : elle suit le soleil ; mais elle n'a pas de préférence et n'est donc pas sentiente.</w:t>
      </w:r>
    </w:p>
    <w:p w:rsidR="00000000" w:rsidDel="00000000" w:rsidP="00000000" w:rsidRDefault="00000000" w:rsidRPr="00000000" w14:paraId="0000001A">
      <w:pPr>
        <w:numPr>
          <w:ilvl w:val="0"/>
          <w:numId w:val="4"/>
        </w:numPr>
        <w:spacing w:after="240" w:before="240" w:lineRule="auto"/>
        <w:ind w:left="720" w:hanging="360"/>
        <w:jc w:val="both"/>
        <w:rPr>
          <w:rFonts w:ascii="Titillium Web" w:cs="Titillium Web" w:eastAsia="Titillium Web" w:hAnsi="Titillium Web"/>
          <w:b w:val="1"/>
          <w:sz w:val="36"/>
          <w:szCs w:val="36"/>
        </w:rPr>
      </w:pPr>
      <w:r w:rsidDel="00000000" w:rsidR="00000000" w:rsidRPr="00000000">
        <w:rPr>
          <w:rFonts w:ascii="Titillium Web" w:cs="Titillium Web" w:eastAsia="Titillium Web" w:hAnsi="Titillium Web"/>
          <w:b w:val="1"/>
          <w:sz w:val="36"/>
          <w:szCs w:val="36"/>
          <w:rtl w:val="0"/>
        </w:rPr>
        <w:t xml:space="preserve">Place de l'homme</w:t>
      </w:r>
    </w:p>
    <w:p w:rsidR="00000000" w:rsidDel="00000000" w:rsidP="00000000" w:rsidRDefault="00000000" w:rsidRPr="00000000" w14:paraId="0000001B">
      <w:pPr>
        <w:spacing w:after="240" w:before="240" w:lineRule="auto"/>
        <w:jc w:val="both"/>
        <w:rPr>
          <w:rFonts w:ascii="Titillium Web" w:cs="Titillium Web" w:eastAsia="Titillium Web" w:hAnsi="Titillium Web"/>
        </w:rPr>
      </w:pPr>
      <w:r w:rsidDel="00000000" w:rsidR="00000000" w:rsidRPr="00000000">
        <w:rPr>
          <w:rFonts w:ascii="Titillium Web" w:cs="Titillium Web" w:eastAsia="Titillium Web" w:hAnsi="Titillium Web"/>
          <w:rtl w:val="0"/>
        </w:rPr>
        <w:t xml:space="preserve">Explication du </w:t>
      </w:r>
      <w:r w:rsidDel="00000000" w:rsidR="00000000" w:rsidRPr="00000000">
        <w:rPr>
          <w:rFonts w:ascii="Titillium Web" w:cs="Titillium Web" w:eastAsia="Titillium Web" w:hAnsi="Titillium Web"/>
          <w:i w:val="1"/>
          <w:rtl w:val="0"/>
        </w:rPr>
        <w:t xml:space="preserve">niveau trophique</w:t>
      </w:r>
      <w:r w:rsidDel="00000000" w:rsidR="00000000" w:rsidRPr="00000000">
        <w:rPr>
          <w:rFonts w:ascii="Titillium Web" w:cs="Titillium Web" w:eastAsia="Titillium Web" w:hAnsi="Titillium Web"/>
          <w:rtl w:val="0"/>
        </w:rPr>
        <w:t xml:space="preserve">. D'un niveau trophique à un autre, on perd 90% de l'énergie créée par le niveau précédent. (</w:t>
      </w:r>
      <w:r w:rsidDel="00000000" w:rsidR="00000000" w:rsidRPr="00000000">
        <w:rPr>
          <w:rFonts w:ascii="Titillium Web" w:cs="Titillium Web" w:eastAsia="Titillium Web" w:hAnsi="Titillium Web"/>
          <w:b w:val="1"/>
          <w:rtl w:val="0"/>
        </w:rPr>
        <w:t xml:space="preserve">Loi des 10% ou loi Raymond-Lindeman</w:t>
      </w:r>
      <w:r w:rsidDel="00000000" w:rsidR="00000000" w:rsidRPr="00000000">
        <w:rPr>
          <w:rFonts w:ascii="Titillium Web" w:cs="Titillium Web" w:eastAsia="Titillium Web" w:hAnsi="Titillium Web"/>
          <w:rtl w:val="0"/>
        </w:rPr>
        <w:t xml:space="preserve">)</w:t>
      </w:r>
    </w:p>
    <w:p w:rsidR="00000000" w:rsidDel="00000000" w:rsidP="00000000" w:rsidRDefault="00000000" w:rsidRPr="00000000" w14:paraId="0000001C">
      <w:pPr>
        <w:numPr>
          <w:ilvl w:val="0"/>
          <w:numId w:val="2"/>
        </w:numPr>
        <w:spacing w:after="0" w:afterAutospacing="0" w:before="240" w:lineRule="auto"/>
        <w:ind w:left="720" w:hanging="360"/>
        <w:jc w:val="both"/>
        <w:rPr>
          <w:rFonts w:ascii="Titillium Web" w:cs="Titillium Web" w:eastAsia="Titillium Web" w:hAnsi="Titillium Web"/>
          <w:u w:val="none"/>
        </w:rPr>
      </w:pPr>
      <w:r w:rsidDel="00000000" w:rsidR="00000000" w:rsidRPr="00000000">
        <w:rPr>
          <w:rFonts w:ascii="Titillium Web" w:cs="Titillium Web" w:eastAsia="Titillium Web" w:hAnsi="Titillium Web"/>
          <w:rtl w:val="0"/>
        </w:rPr>
        <w:t xml:space="preserve">(Producteurs) Végétaux </w:t>
      </w:r>
      <w:r w:rsidDel="00000000" w:rsidR="00000000" w:rsidRPr="00000000">
        <w:rPr>
          <w:rFonts w:ascii="Titillium Web" w:cs="Titillium Web" w:eastAsia="Titillium Web" w:hAnsi="Titillium Web"/>
          <w:b w:val="1"/>
          <w:rtl w:val="0"/>
        </w:rPr>
        <w:t xml:space="preserve">niveau 1</w:t>
      </w:r>
      <w:r w:rsidDel="00000000" w:rsidR="00000000" w:rsidRPr="00000000">
        <w:rPr>
          <w:rFonts w:ascii="Titillium Web" w:cs="Titillium Web" w:eastAsia="Titillium Web" w:hAnsi="Titillium Web"/>
          <w:rtl w:val="0"/>
        </w:rPr>
        <w:t xml:space="preserve"> : Autotrophe. Ils sont les seuls capables de produire de l'énergie à partir de manière inorganique.</w:t>
      </w:r>
    </w:p>
    <w:p w:rsidR="00000000" w:rsidDel="00000000" w:rsidP="00000000" w:rsidRDefault="00000000" w:rsidRPr="00000000" w14:paraId="0000001D">
      <w:pPr>
        <w:numPr>
          <w:ilvl w:val="0"/>
          <w:numId w:val="2"/>
        </w:numPr>
        <w:spacing w:after="0" w:afterAutospacing="0" w:before="0" w:beforeAutospacing="0" w:lineRule="auto"/>
        <w:ind w:left="720" w:hanging="360"/>
        <w:jc w:val="both"/>
        <w:rPr>
          <w:rFonts w:ascii="Titillium Web" w:cs="Titillium Web" w:eastAsia="Titillium Web" w:hAnsi="Titillium Web"/>
          <w:u w:val="none"/>
        </w:rPr>
      </w:pPr>
      <w:r w:rsidDel="00000000" w:rsidR="00000000" w:rsidRPr="00000000">
        <w:rPr>
          <w:rFonts w:ascii="Titillium Web" w:cs="Titillium Web" w:eastAsia="Titillium Web" w:hAnsi="Titillium Web"/>
          <w:rtl w:val="0"/>
        </w:rPr>
        <w:t xml:space="preserve">Consommateur primaire</w:t>
      </w:r>
      <w:r w:rsidDel="00000000" w:rsidR="00000000" w:rsidRPr="00000000">
        <w:rPr>
          <w:rFonts w:ascii="Titillium Web" w:cs="Titillium Web" w:eastAsia="Titillium Web" w:hAnsi="Titillium Web"/>
          <w:b w:val="1"/>
          <w:rtl w:val="0"/>
        </w:rPr>
        <w:t xml:space="preserve"> niveau 2</w:t>
      </w:r>
      <w:r w:rsidDel="00000000" w:rsidR="00000000" w:rsidRPr="00000000">
        <w:rPr>
          <w:rFonts w:ascii="Titillium Web" w:cs="Titillium Web" w:eastAsia="Titillium Web" w:hAnsi="Titillium Web"/>
          <w:rtl w:val="0"/>
        </w:rPr>
        <w:t xml:space="preserve"> : anchois, cochon.... humain à niveau trophique 2,2</w:t>
      </w:r>
    </w:p>
    <w:p w:rsidR="00000000" w:rsidDel="00000000" w:rsidP="00000000" w:rsidRDefault="00000000" w:rsidRPr="00000000" w14:paraId="0000001E">
      <w:pPr>
        <w:numPr>
          <w:ilvl w:val="0"/>
          <w:numId w:val="2"/>
        </w:numPr>
        <w:spacing w:after="240" w:before="0" w:beforeAutospacing="0" w:lineRule="auto"/>
        <w:ind w:left="720" w:hanging="360"/>
        <w:jc w:val="both"/>
        <w:rPr>
          <w:rFonts w:ascii="Titillium Web" w:cs="Titillium Web" w:eastAsia="Titillium Web" w:hAnsi="Titillium Web"/>
          <w:u w:val="none"/>
        </w:rPr>
      </w:pPr>
      <w:r w:rsidDel="00000000" w:rsidR="00000000" w:rsidRPr="00000000">
        <w:rPr>
          <w:rFonts w:ascii="Titillium Web" w:cs="Titillium Web" w:eastAsia="Titillium Web" w:hAnsi="Titillium Web"/>
          <w:rtl w:val="0"/>
        </w:rPr>
        <w:t xml:space="preserve">Consommateur secondaire (prédateur) </w:t>
      </w:r>
      <w:r w:rsidDel="00000000" w:rsidR="00000000" w:rsidRPr="00000000">
        <w:rPr>
          <w:rFonts w:ascii="Titillium Web" w:cs="Titillium Web" w:eastAsia="Titillium Web" w:hAnsi="Titillium Web"/>
          <w:b w:val="1"/>
          <w:rtl w:val="0"/>
        </w:rPr>
        <w:t xml:space="preserve">niveau 3, 4, ou même 5</w:t>
      </w:r>
      <w:r w:rsidDel="00000000" w:rsidR="00000000" w:rsidRPr="00000000">
        <w:rPr>
          <w:rFonts w:ascii="Titillium Web" w:cs="Titillium Web" w:eastAsia="Titillium Web" w:hAnsi="Titillium Web"/>
          <w:rtl w:val="0"/>
        </w:rPr>
        <w:t xml:space="preserve"> pour les prédateurs apex (orque et ours polaire à 5,...) </w:t>
      </w:r>
    </w:p>
    <w:p w:rsidR="00000000" w:rsidDel="00000000" w:rsidP="00000000" w:rsidRDefault="00000000" w:rsidRPr="00000000" w14:paraId="0000001F">
      <w:pPr>
        <w:spacing w:after="240" w:before="240" w:lineRule="auto"/>
        <w:jc w:val="both"/>
        <w:rPr>
          <w:rFonts w:ascii="Titillium Web" w:cs="Titillium Web" w:eastAsia="Titillium Web" w:hAnsi="Titillium Web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spacing w:after="240" w:before="240" w:lineRule="auto"/>
        <w:jc w:val="both"/>
        <w:rPr>
          <w:rFonts w:ascii="Titillium Web" w:cs="Titillium Web" w:eastAsia="Titillium Web" w:hAnsi="Titillium Web"/>
        </w:rPr>
      </w:pPr>
      <w:r w:rsidDel="00000000" w:rsidR="00000000" w:rsidRPr="00000000">
        <w:rPr>
          <w:rFonts w:ascii="Titillium Web" w:cs="Titillium Web" w:eastAsia="Titillium Web" w:hAnsi="Titillium Web"/>
          <w:rtl w:val="0"/>
        </w:rPr>
        <w:t xml:space="preserve">/!\ Plus de 81% des élevages sont </w:t>
      </w:r>
      <w:r w:rsidDel="00000000" w:rsidR="00000000" w:rsidRPr="00000000">
        <w:rPr>
          <w:rFonts w:ascii="Titillium Web" w:cs="Titillium Web" w:eastAsia="Titillium Web" w:hAnsi="Titillium Web"/>
          <w:b w:val="1"/>
          <w:rtl w:val="0"/>
        </w:rPr>
        <w:t xml:space="preserve">consommateurs nets</w:t>
      </w:r>
      <w:r w:rsidDel="00000000" w:rsidR="00000000" w:rsidRPr="00000000">
        <w:rPr>
          <w:rFonts w:ascii="Titillium Web" w:cs="Titillium Web" w:eastAsia="Titillium Web" w:hAnsi="Titillium Web"/>
          <w:rtl w:val="0"/>
        </w:rPr>
        <w:t xml:space="preserve"> en protéines. Blabla sur les ruminants (19% de l'élevage) qui sont responsables de 80% des émissions GES liées à l'élevage et 1/3 des émissions de méthane (tout court ?). D'un autre côté les ruminants transforment du fourrage impropre à la consommation en protéines comestibles par l'homme. ratio brut de nourriture consommée par un ruminant / protéine comestible produite par sa viande = 90%. Si on prend le ratio net (en enlevant dans la nourriture consommée par l'animal celle qui ne peut être consommée par l'homme) on tombe à 62%. (c'est bien plus favorable pour les ruminants, cela reste à 90% pour les monogastriques donc attention à quel chiffre on utilise)</w:t>
      </w:r>
    </w:p>
    <w:p w:rsidR="00000000" w:rsidDel="00000000" w:rsidP="00000000" w:rsidRDefault="00000000" w:rsidRPr="00000000" w14:paraId="00000021">
      <w:pPr>
        <w:spacing w:after="240" w:before="240" w:lineRule="auto"/>
        <w:jc w:val="both"/>
        <w:rPr>
          <w:rFonts w:ascii="Titillium Web" w:cs="Titillium Web" w:eastAsia="Titillium Web" w:hAnsi="Titillium Web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numPr>
          <w:ilvl w:val="0"/>
          <w:numId w:val="4"/>
        </w:numPr>
        <w:spacing w:after="240" w:before="240" w:lineRule="auto"/>
        <w:ind w:left="720" w:hanging="360"/>
        <w:jc w:val="both"/>
        <w:rPr>
          <w:rFonts w:ascii="Titillium Web" w:cs="Titillium Web" w:eastAsia="Titillium Web" w:hAnsi="Titillium Web"/>
          <w:b w:val="1"/>
          <w:sz w:val="36"/>
          <w:szCs w:val="36"/>
        </w:rPr>
      </w:pPr>
      <w:r w:rsidDel="00000000" w:rsidR="00000000" w:rsidRPr="00000000">
        <w:rPr>
          <w:rFonts w:ascii="Titillium Web" w:cs="Titillium Web" w:eastAsia="Titillium Web" w:hAnsi="Titillium Web"/>
          <w:b w:val="1"/>
          <w:sz w:val="36"/>
          <w:szCs w:val="36"/>
          <w:rtl w:val="0"/>
        </w:rPr>
        <w:t xml:space="preserve">Consommer mieux</w:t>
      </w:r>
    </w:p>
    <w:p w:rsidR="00000000" w:rsidDel="00000000" w:rsidP="00000000" w:rsidRDefault="00000000" w:rsidRPr="00000000" w14:paraId="00000023">
      <w:pPr>
        <w:spacing w:after="240" w:before="240" w:lineRule="auto"/>
        <w:ind w:firstLine="720"/>
        <w:jc w:val="both"/>
        <w:rPr>
          <w:rFonts w:ascii="Titillium Web" w:cs="Titillium Web" w:eastAsia="Titillium Web" w:hAnsi="Titillium Web"/>
          <w:b w:val="1"/>
        </w:rPr>
      </w:pPr>
      <w:r w:rsidDel="00000000" w:rsidR="00000000" w:rsidRPr="00000000">
        <w:rPr>
          <w:rFonts w:ascii="Titillium Web" w:cs="Titillium Web" w:eastAsia="Titillium Web" w:hAnsi="Titillium Web"/>
          <w:rtl w:val="0"/>
        </w:rPr>
        <w:t xml:space="preserve">1/3 de la production de nourriture est perdue en gaspillage alimentaire. Et au total, plus de 2/3 (la conversion énergie produite par la terre en énergie disponible sur la vache a plus de 1/3 de perte totale) de la nourriture produite par la terre est perdue par inefficience alimentaire (#si on mange du bœuf plutôt que du soja directement =&gt; perte d'</w:t>
      </w:r>
      <w:r w:rsidDel="00000000" w:rsidR="00000000" w:rsidRPr="00000000">
        <w:rPr>
          <w:rFonts w:ascii="Titillium Web" w:cs="Titillium Web" w:eastAsia="Titillium Web" w:hAnsi="Titillium Web"/>
          <w:b w:val="1"/>
          <w:rtl w:val="0"/>
        </w:rPr>
        <w:t xml:space="preserve">opportunité alimentaire.</w:t>
      </w:r>
    </w:p>
    <w:p w:rsidR="00000000" w:rsidDel="00000000" w:rsidP="00000000" w:rsidRDefault="00000000" w:rsidRPr="00000000" w14:paraId="00000024">
      <w:pPr>
        <w:spacing w:after="240" w:before="240" w:lineRule="auto"/>
        <w:jc w:val="both"/>
        <w:rPr>
          <w:rFonts w:ascii="Titillium Web" w:cs="Titillium Web" w:eastAsia="Titillium Web" w:hAnsi="Titillium Web"/>
        </w:rPr>
      </w:pPr>
      <w:r w:rsidDel="00000000" w:rsidR="00000000" w:rsidRPr="00000000">
        <w:rPr>
          <w:rFonts w:ascii="Titillium Web" w:cs="Titillium Web" w:eastAsia="Titillium Web" w:hAnsi="Titillium Web"/>
          <w:rtl w:val="0"/>
        </w:rPr>
        <w:t xml:space="preserve">La production d'un gramme de protéine (ou calorie) animale représente en général un ordre de grandeur d'écart en émission et énergie par rapport à la production d'un gramme de protéine (ou calorie) végétale.</w:t>
      </w:r>
    </w:p>
    <w:p w:rsidR="00000000" w:rsidDel="00000000" w:rsidP="00000000" w:rsidRDefault="00000000" w:rsidRPr="00000000" w14:paraId="00000025">
      <w:pPr>
        <w:spacing w:after="240" w:before="240" w:lineRule="auto"/>
        <w:jc w:val="both"/>
        <w:rPr>
          <w:rFonts w:ascii="Titillium Web" w:cs="Titillium Web" w:eastAsia="Titillium Web" w:hAnsi="Titillium Web"/>
        </w:rPr>
      </w:pPr>
      <w:r w:rsidDel="00000000" w:rsidR="00000000" w:rsidRPr="00000000">
        <w:rPr>
          <w:rFonts w:ascii="Titillium Web" w:cs="Titillium Web" w:eastAsia="Titillium Web" w:hAnsi="Titillium Web"/>
          <w:b w:val="1"/>
          <w:rtl w:val="0"/>
        </w:rPr>
        <w:t xml:space="preserve">Perte d'opportunité nutritive</w:t>
      </w:r>
      <w:r w:rsidDel="00000000" w:rsidR="00000000" w:rsidRPr="00000000">
        <w:rPr>
          <w:rFonts w:ascii="Titillium Web" w:cs="Titillium Web" w:eastAsia="Titillium Web" w:hAnsi="Titillium Web"/>
          <w:rtl w:val="0"/>
        </w:rPr>
        <w:t xml:space="preserve"> : œufs (40%), volaille (50%), produits laitiers (75%), porc (90%) et bœuf (96%). (XX% = pertes de protéines par rapport à son remplacement végétal sans "transformation").</w:t>
      </w:r>
    </w:p>
    <w:p w:rsidR="00000000" w:rsidDel="00000000" w:rsidP="00000000" w:rsidRDefault="00000000" w:rsidRPr="00000000" w14:paraId="00000026">
      <w:pPr>
        <w:numPr>
          <w:ilvl w:val="0"/>
          <w:numId w:val="5"/>
        </w:numPr>
        <w:spacing w:after="0" w:afterAutospacing="0" w:before="240" w:lineRule="auto"/>
        <w:ind w:left="720" w:hanging="360"/>
        <w:jc w:val="both"/>
        <w:rPr>
          <w:rFonts w:ascii="Titillium Web" w:cs="Titillium Web" w:eastAsia="Titillium Web" w:hAnsi="Titillium Web"/>
          <w:u w:val="none"/>
        </w:rPr>
      </w:pPr>
      <w:r w:rsidDel="00000000" w:rsidR="00000000" w:rsidRPr="00000000">
        <w:rPr>
          <w:rFonts w:ascii="Titillium Web" w:cs="Titillium Web" w:eastAsia="Titillium Web" w:hAnsi="Titillium Web"/>
          <w:rtl w:val="0"/>
        </w:rPr>
        <w:t xml:space="preserve">En 60 ans : x2.5 population mondiale, x2 productivité MAIS x10 animaux d'élevage</w:t>
      </w:r>
    </w:p>
    <w:p w:rsidR="00000000" w:rsidDel="00000000" w:rsidP="00000000" w:rsidRDefault="00000000" w:rsidRPr="00000000" w14:paraId="00000027">
      <w:pPr>
        <w:numPr>
          <w:ilvl w:val="0"/>
          <w:numId w:val="5"/>
        </w:numPr>
        <w:spacing w:after="0" w:afterAutospacing="0" w:before="0" w:beforeAutospacing="0" w:lineRule="auto"/>
        <w:ind w:left="720" w:hanging="360"/>
        <w:jc w:val="both"/>
        <w:rPr>
          <w:rFonts w:ascii="Titillium Web" w:cs="Titillium Web" w:eastAsia="Titillium Web" w:hAnsi="Titillium Web"/>
          <w:u w:val="none"/>
        </w:rPr>
      </w:pPr>
      <w:r w:rsidDel="00000000" w:rsidR="00000000" w:rsidRPr="00000000">
        <w:rPr>
          <w:rFonts w:ascii="Titillium Web" w:cs="Titillium Web" w:eastAsia="Titillium Web" w:hAnsi="Titillium Web"/>
          <w:rtl w:val="0"/>
        </w:rPr>
        <w:t xml:space="preserve">Nombre d'animaux d'élevages / population mondiale = 2,3 en 1960 VS 8,3 en 2020.</w:t>
      </w:r>
    </w:p>
    <w:p w:rsidR="00000000" w:rsidDel="00000000" w:rsidP="00000000" w:rsidRDefault="00000000" w:rsidRPr="00000000" w14:paraId="00000028">
      <w:pPr>
        <w:numPr>
          <w:ilvl w:val="0"/>
          <w:numId w:val="5"/>
        </w:numPr>
        <w:spacing w:after="0" w:afterAutospacing="0" w:before="0" w:beforeAutospacing="0" w:lineRule="auto"/>
        <w:ind w:left="720" w:hanging="360"/>
        <w:jc w:val="both"/>
        <w:rPr>
          <w:rFonts w:ascii="Titillium Web" w:cs="Titillium Web" w:eastAsia="Titillium Web" w:hAnsi="Titillium Web"/>
          <w:u w:val="none"/>
        </w:rPr>
      </w:pPr>
      <w:r w:rsidDel="00000000" w:rsidR="00000000" w:rsidRPr="00000000">
        <w:rPr>
          <w:rFonts w:ascii="Titillium Web" w:cs="Titillium Web" w:eastAsia="Titillium Web" w:hAnsi="Titillium Web"/>
          <w:rtl w:val="0"/>
        </w:rPr>
        <w:t xml:space="preserve">65% de changement d'affectation des sols</w:t>
      </w:r>
    </w:p>
    <w:p w:rsidR="00000000" w:rsidDel="00000000" w:rsidP="00000000" w:rsidRDefault="00000000" w:rsidRPr="00000000" w14:paraId="00000029">
      <w:pPr>
        <w:numPr>
          <w:ilvl w:val="0"/>
          <w:numId w:val="5"/>
        </w:numPr>
        <w:spacing w:after="240" w:before="0" w:beforeAutospacing="0" w:lineRule="auto"/>
        <w:ind w:left="720" w:hanging="360"/>
        <w:jc w:val="both"/>
        <w:rPr>
          <w:rFonts w:ascii="Titillium Web" w:cs="Titillium Web" w:eastAsia="Titillium Web" w:hAnsi="Titillium Web"/>
          <w:u w:val="none"/>
        </w:rPr>
      </w:pPr>
      <w:r w:rsidDel="00000000" w:rsidR="00000000" w:rsidRPr="00000000">
        <w:rPr>
          <w:rFonts w:ascii="Titillium Web" w:cs="Titillium Web" w:eastAsia="Titillium Web" w:hAnsi="Titillium Web"/>
          <w:rtl w:val="0"/>
        </w:rPr>
        <w:t xml:space="preserve">23% de surface de cultures VS 77% des terres agricoles pour : 82% d'apport calorique mondial végétal VS 18%. </w:t>
        <w:br w:type="textWrapping"/>
        <w:t xml:space="preserve">--&gt; surface nécessaire pour nourrir une personne ajd : ±1ha VS ±0,2ha pour un végétarien et ±0,13ha pour végétalien.</w:t>
      </w:r>
    </w:p>
    <w:p w:rsidR="00000000" w:rsidDel="00000000" w:rsidP="00000000" w:rsidRDefault="00000000" w:rsidRPr="00000000" w14:paraId="0000002A">
      <w:pPr>
        <w:spacing w:after="240" w:before="240" w:lineRule="auto"/>
        <w:jc w:val="both"/>
        <w:rPr>
          <w:rFonts w:ascii="Titillium Web" w:cs="Titillium Web" w:eastAsia="Titillium Web" w:hAnsi="Titillium Web"/>
        </w:rPr>
      </w:pPr>
      <w:r w:rsidDel="00000000" w:rsidR="00000000" w:rsidRPr="00000000">
        <w:rPr>
          <w:rFonts w:ascii="Titillium Web" w:cs="Titillium Web" w:eastAsia="Titillium Web" w:hAnsi="Titillium Web"/>
          <w:rtl w:val="0"/>
        </w:rPr>
        <w:t xml:space="preserve">Manger végétarien &gt; manger local en terme d'efficacité.</w:t>
      </w:r>
    </w:p>
    <w:p w:rsidR="00000000" w:rsidDel="00000000" w:rsidP="00000000" w:rsidRDefault="00000000" w:rsidRPr="00000000" w14:paraId="0000002B">
      <w:pPr>
        <w:jc w:val="both"/>
        <w:rPr>
          <w:rFonts w:ascii="Titillium Web" w:cs="Titillium Web" w:eastAsia="Titillium Web" w:hAnsi="Titillium Web"/>
        </w:rPr>
      </w:pPr>
      <w:r w:rsidDel="00000000" w:rsidR="00000000" w:rsidRPr="00000000">
        <w:rPr>
          <w:rFonts w:ascii="Titillium Web" w:cs="Titillium Web" w:eastAsia="Titillium Web" w:hAnsi="Titillium Web"/>
        </w:rPr>
        <w:drawing>
          <wp:inline distB="114300" distT="114300" distL="114300" distR="114300">
            <wp:extent cx="5731200" cy="3619500"/>
            <wp:effectExtent b="0" l="0" r="0" t="0"/>
            <wp:docPr id="4" name="image4.png"/>
            <a:graphic>
              <a:graphicData uri="http://schemas.openxmlformats.org/drawingml/2006/picture">
                <pic:pic>
                  <pic:nvPicPr>
                    <pic:cNvPr id="0" name="image4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731200" cy="36195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jc w:val="both"/>
        <w:rPr>
          <w:rFonts w:ascii="Titillium Web" w:cs="Titillium Web" w:eastAsia="Titillium Web" w:hAnsi="Titillium Web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spacing w:after="240" w:lineRule="auto"/>
        <w:ind w:firstLine="720"/>
        <w:jc w:val="both"/>
        <w:rPr>
          <w:rFonts w:ascii="Titillium Web" w:cs="Titillium Web" w:eastAsia="Titillium Web" w:hAnsi="Titillium Web"/>
        </w:rPr>
      </w:pPr>
      <w:r w:rsidDel="00000000" w:rsidR="00000000" w:rsidRPr="00000000">
        <w:rPr>
          <w:rFonts w:ascii="Titillium Web" w:cs="Titillium Web" w:eastAsia="Titillium Web" w:hAnsi="Titillium Web"/>
          <w:b w:val="1"/>
          <w:rtl w:val="0"/>
        </w:rPr>
        <w:t xml:space="preserve">Liste des actions persos permettant de réduire son empreinte</w:t>
      </w:r>
      <w:r w:rsidDel="00000000" w:rsidR="00000000" w:rsidRPr="00000000">
        <w:rPr>
          <w:rFonts w:ascii="Titillium Web" w:cs="Titillium Web" w:eastAsia="Titillium Web" w:hAnsi="Titillium Web"/>
          <w:rtl w:val="0"/>
        </w:rPr>
        <w:t xml:space="preserve"> : </w:t>
      </w:r>
    </w:p>
    <w:p w:rsidR="00000000" w:rsidDel="00000000" w:rsidP="00000000" w:rsidRDefault="00000000" w:rsidRPr="00000000" w14:paraId="0000002E">
      <w:pPr>
        <w:numPr>
          <w:ilvl w:val="0"/>
          <w:numId w:val="3"/>
        </w:numPr>
        <w:spacing w:after="240" w:lineRule="auto"/>
        <w:ind w:left="720" w:hanging="360"/>
        <w:jc w:val="both"/>
        <w:rPr>
          <w:rFonts w:ascii="Titillium Web" w:cs="Titillium Web" w:eastAsia="Titillium Web" w:hAnsi="Titillium Web"/>
          <w:u w:val="none"/>
        </w:rPr>
      </w:pPr>
      <w:r w:rsidDel="00000000" w:rsidR="00000000" w:rsidRPr="00000000">
        <w:rPr>
          <w:rFonts w:ascii="Titillium Web" w:cs="Titillium Web" w:eastAsia="Titillium Web" w:hAnsi="Titillium Web"/>
          <w:rtl w:val="0"/>
        </w:rPr>
        <w:t xml:space="preserve">Régime végétarien (-1,12t) &gt; sans produit laitier (-0,47t) &gt; acheter moins neuf (-0,37t) &gt; privilégier le vélo &gt; arrêter l'avion &gt; ... &gt; démarche zéro déchet (-0,09t) (</w:t>
      </w:r>
      <w:r w:rsidDel="00000000" w:rsidR="00000000" w:rsidRPr="00000000">
        <w:rPr>
          <w:rFonts w:ascii="Titillium Web" w:cs="Titillium Web" w:eastAsia="Titillium Web" w:hAnsi="Titillium Web"/>
          <w:i w:val="1"/>
          <w:rtl w:val="0"/>
        </w:rPr>
        <w:t xml:space="preserve">sur 11t au total donc </w:t>
      </w:r>
      <w:r w:rsidDel="00000000" w:rsidR="00000000" w:rsidRPr="00000000">
        <w:rPr>
          <w:rFonts w:ascii="Titillium Web" w:cs="Titillium Web" w:eastAsia="Titillium Web" w:hAnsi="Titillium Web"/>
          <w:b w:val="1"/>
          <w:i w:val="1"/>
          <w:rtl w:val="0"/>
        </w:rPr>
        <w:t xml:space="preserve">75% de nos émissions</w:t>
      </w:r>
      <w:r w:rsidDel="00000000" w:rsidR="00000000" w:rsidRPr="00000000">
        <w:rPr>
          <w:rFonts w:ascii="Titillium Web" w:cs="Titillium Web" w:eastAsia="Titillium Web" w:hAnsi="Titillium Web"/>
          <w:i w:val="1"/>
          <w:rtl w:val="0"/>
        </w:rPr>
        <w:t xml:space="preserve"> ne sont </w:t>
      </w:r>
      <w:r w:rsidDel="00000000" w:rsidR="00000000" w:rsidRPr="00000000">
        <w:rPr>
          <w:rFonts w:ascii="Titillium Web" w:cs="Titillium Web" w:eastAsia="Titillium Web" w:hAnsi="Titillium Web"/>
          <w:b w:val="1"/>
          <w:i w:val="1"/>
          <w:rtl w:val="0"/>
        </w:rPr>
        <w:t xml:space="preserve">pas vraiment réductibles</w:t>
      </w:r>
      <w:r w:rsidDel="00000000" w:rsidR="00000000" w:rsidRPr="00000000">
        <w:rPr>
          <w:rFonts w:ascii="Titillium Web" w:cs="Titillium Web" w:eastAsia="Titillium Web" w:hAnsi="Titillium Web"/>
          <w:i w:val="1"/>
          <w:rtl w:val="0"/>
        </w:rPr>
        <w:t xml:space="preserve"> par des </w:t>
      </w:r>
      <w:r w:rsidDel="00000000" w:rsidR="00000000" w:rsidRPr="00000000">
        <w:rPr>
          <w:rFonts w:ascii="Titillium Web" w:cs="Titillium Web" w:eastAsia="Titillium Web" w:hAnsi="Titillium Web"/>
          <w:b w:val="1"/>
          <w:i w:val="1"/>
          <w:rtl w:val="0"/>
        </w:rPr>
        <w:t xml:space="preserve">actions persos</w:t>
      </w:r>
      <w:r w:rsidDel="00000000" w:rsidR="00000000" w:rsidRPr="00000000">
        <w:rPr>
          <w:rFonts w:ascii="Titillium Web" w:cs="Titillium Web" w:eastAsia="Titillium Web" w:hAnsi="Titillium Web"/>
          <w:rtl w:val="0"/>
        </w:rPr>
        <w:t xml:space="preserve">).</w:t>
      </w:r>
    </w:p>
    <w:p w:rsidR="00000000" w:rsidDel="00000000" w:rsidP="00000000" w:rsidRDefault="00000000" w:rsidRPr="00000000" w14:paraId="0000002F">
      <w:pPr>
        <w:spacing w:after="240" w:before="240" w:lineRule="auto"/>
        <w:jc w:val="both"/>
        <w:rPr>
          <w:rFonts w:ascii="Titillium Web" w:cs="Titillium Web" w:eastAsia="Titillium Web" w:hAnsi="Titillium Web"/>
        </w:rPr>
      </w:pPr>
      <w:r w:rsidDel="00000000" w:rsidR="00000000" w:rsidRPr="00000000">
        <w:rPr>
          <w:rFonts w:ascii="Titillium Web" w:cs="Titillium Web" w:eastAsia="Titillium Web" w:hAnsi="Titillium Web"/>
          <w:rtl w:val="0"/>
        </w:rPr>
        <w:t xml:space="preserve">Ces réductions restent de l'ordre de 20% des réductions nécessaires pour arriver au 2t de carbone prévu par l’accord de Paris. Cela est cependant accessible par tous, ne nécessite pas un comportement héroïque. Le reste (80%) doit venir des entreprises et des infrastructures que proposent les systèmes dans lesquels nous évoluons.</w:t>
      </w:r>
    </w:p>
    <w:p w:rsidR="00000000" w:rsidDel="00000000" w:rsidP="00000000" w:rsidRDefault="00000000" w:rsidRPr="00000000" w14:paraId="00000030">
      <w:pPr>
        <w:spacing w:after="240" w:before="240" w:lineRule="auto"/>
        <w:jc w:val="both"/>
        <w:rPr>
          <w:rFonts w:ascii="Titillium Web" w:cs="Titillium Web" w:eastAsia="Titillium Web" w:hAnsi="Titillium Web"/>
        </w:rPr>
      </w:pPr>
      <w:r w:rsidDel="00000000" w:rsidR="00000000" w:rsidRPr="00000000">
        <w:rPr>
          <w:rFonts w:ascii="Titillium Web" w:cs="Titillium Web" w:eastAsia="Titillium Web" w:hAnsi="Titillium Web"/>
          <w:rtl w:val="0"/>
        </w:rPr>
        <w:t xml:space="preserve">Quantité de protéines recommandées par jour pour être en bonne santé : 0,83g/kg de corps. (±65g/j).</w:t>
      </w:r>
    </w:p>
    <w:p w:rsidR="00000000" w:rsidDel="00000000" w:rsidP="00000000" w:rsidRDefault="00000000" w:rsidRPr="00000000" w14:paraId="00000031">
      <w:pPr>
        <w:spacing w:after="240" w:before="240" w:lineRule="auto"/>
        <w:jc w:val="both"/>
        <w:rPr>
          <w:rFonts w:ascii="Titillium Web" w:cs="Titillium Web" w:eastAsia="Titillium Web" w:hAnsi="Titillium Web"/>
        </w:rPr>
      </w:pPr>
      <w:r w:rsidDel="00000000" w:rsidR="00000000" w:rsidRPr="00000000">
        <w:rPr>
          <w:rFonts w:ascii="Titillium Web" w:cs="Titillium Web" w:eastAsia="Titillium Web" w:hAnsi="Titillium Web"/>
          <w:rtl w:val="0"/>
        </w:rPr>
        <w:t xml:space="preserve">Pour info, en comparaison avec le chiffre précédent :</w:t>
      </w:r>
      <w:r w:rsidDel="00000000" w:rsidR="00000000" w:rsidRPr="00000000">
        <w:drawing>
          <wp:anchor allowOverlap="1" behindDoc="0" distB="114300" distT="114300" distL="114300" distR="114300" hidden="0" layoutInCell="1" locked="0" relativeHeight="0" simplePos="0">
            <wp:simplePos x="0" y="0"/>
            <wp:positionH relativeFrom="column">
              <wp:posOffset>409575</wp:posOffset>
            </wp:positionH>
            <wp:positionV relativeFrom="paragraph">
              <wp:posOffset>283851</wp:posOffset>
            </wp:positionV>
            <wp:extent cx="4348163" cy="3070948"/>
            <wp:effectExtent b="0" l="0" r="0" t="0"/>
            <wp:wrapTopAndBottom distB="114300" distT="11430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348163" cy="3070948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32">
      <w:pPr>
        <w:spacing w:after="240" w:lineRule="auto"/>
        <w:jc w:val="both"/>
        <w:rPr>
          <w:rFonts w:ascii="Titillium Web" w:cs="Titillium Web" w:eastAsia="Titillium Web" w:hAnsi="Titillium Web"/>
        </w:rPr>
      </w:pPr>
      <w:r w:rsidDel="00000000" w:rsidR="00000000" w:rsidRPr="00000000">
        <w:rPr>
          <w:rFonts w:ascii="Titillium Web" w:cs="Titillium Web" w:eastAsia="Titillium Web" w:hAnsi="Titillium Web"/>
          <w:u w:val="single"/>
          <w:rtl w:val="0"/>
        </w:rPr>
        <w:t xml:space="preserve">Émissions boeuf intensif &lt; boeuf extensif :</w:t>
      </w:r>
      <w:r w:rsidDel="00000000" w:rsidR="00000000" w:rsidRPr="00000000">
        <w:rPr>
          <w:rFonts w:ascii="Titillium Web" w:cs="Titillium Web" w:eastAsia="Titillium Web" w:hAnsi="Titillium Web"/>
          <w:rtl w:val="0"/>
        </w:rPr>
        <w:t xml:space="preserve"> facteur 2,1 ! c'est bon pour le bien être animal mais pas pour les émissions carbone.</w:t>
      </w:r>
    </w:p>
    <w:p w:rsidR="00000000" w:rsidDel="00000000" w:rsidP="00000000" w:rsidRDefault="00000000" w:rsidRPr="00000000" w14:paraId="00000033">
      <w:pPr>
        <w:spacing w:after="240" w:before="240" w:lineRule="auto"/>
        <w:jc w:val="both"/>
        <w:rPr>
          <w:rFonts w:ascii="Titillium Web" w:cs="Titillium Web" w:eastAsia="Titillium Web" w:hAnsi="Titillium Web"/>
        </w:rPr>
      </w:pPr>
      <w:r w:rsidDel="00000000" w:rsidR="00000000" w:rsidRPr="00000000">
        <w:rPr>
          <w:rFonts w:ascii="Titillium Web" w:cs="Titillium Web" w:eastAsia="Titillium Web" w:hAnsi="Titillium Web"/>
          <w:rtl w:val="0"/>
        </w:rPr>
        <w:t xml:space="preserve">graphe world in data à aller chequer</w:t>
      </w:r>
    </w:p>
    <w:p w:rsidR="00000000" w:rsidDel="00000000" w:rsidP="00000000" w:rsidRDefault="00000000" w:rsidRPr="00000000" w14:paraId="00000034">
      <w:pPr>
        <w:spacing w:after="240" w:before="240" w:lineRule="auto"/>
        <w:jc w:val="both"/>
        <w:rPr>
          <w:rFonts w:ascii="Titillium Web" w:cs="Titillium Web" w:eastAsia="Titillium Web" w:hAnsi="Titillium Web"/>
        </w:rPr>
      </w:pPr>
      <w:r w:rsidDel="00000000" w:rsidR="00000000" w:rsidRPr="00000000">
        <w:rPr>
          <w:rFonts w:ascii="Titillium Web" w:cs="Titillium Web" w:eastAsia="Titillium Web" w:hAnsi="Titillium Web"/>
          <w:rtl w:val="0"/>
        </w:rPr>
        <w:t xml:space="preserve">Eat Lancet : menu alimentaire omnivore soutenable : -70% de produits animaux. (surtout viande rouge (réduire de 90%) et poissons (70%), puis produits laitiers(65%), œufs(60%), poulets).</w:t>
      </w:r>
    </w:p>
    <w:p w:rsidR="00000000" w:rsidDel="00000000" w:rsidP="00000000" w:rsidRDefault="00000000" w:rsidRPr="00000000" w14:paraId="00000035">
      <w:pPr>
        <w:spacing w:after="240" w:before="240" w:lineRule="auto"/>
        <w:jc w:val="both"/>
        <w:rPr>
          <w:rFonts w:ascii="Titillium Web" w:cs="Titillium Web" w:eastAsia="Titillium Web" w:hAnsi="Titillium Web"/>
        </w:rPr>
      </w:pPr>
      <w:r w:rsidDel="00000000" w:rsidR="00000000" w:rsidRPr="00000000">
        <w:rPr>
          <w:rFonts w:ascii="Titillium Web" w:cs="Titillium Web" w:eastAsia="Titillium Web" w:hAnsi="Titillium Web"/>
          <w:rtl w:val="0"/>
        </w:rPr>
        <w:t xml:space="preserve">En lien avec le régime eat lancet, la notion "d'opportunité carbone" =&gt; changement d'utilisation des sols =&gt; stockage carbone</w:t>
      </w:r>
    </w:p>
    <w:p w:rsidR="00000000" w:rsidDel="00000000" w:rsidP="00000000" w:rsidRDefault="00000000" w:rsidRPr="00000000" w14:paraId="00000036">
      <w:pPr>
        <w:spacing w:after="240" w:before="240" w:lineRule="auto"/>
        <w:jc w:val="both"/>
        <w:rPr>
          <w:rFonts w:ascii="Titillium Web" w:cs="Titillium Web" w:eastAsia="Titillium Web" w:hAnsi="Titillium Web"/>
        </w:rPr>
      </w:pPr>
      <w:r w:rsidDel="00000000" w:rsidR="00000000" w:rsidRPr="00000000">
        <w:rPr>
          <w:rFonts w:ascii="Titillium Web" w:cs="Titillium Web" w:eastAsia="Titillium Web" w:hAnsi="Titillium Web"/>
          <w:rtl w:val="0"/>
        </w:rPr>
        <w:t xml:space="preserve">Découplage entre PIB et émissions carbones possible avec un changement de niveau trophique (en végétalisant l'alimentation, la biomasse se rétablirait et compenserait les émissions).</w:t>
      </w:r>
    </w:p>
    <w:p w:rsidR="00000000" w:rsidDel="00000000" w:rsidP="00000000" w:rsidRDefault="00000000" w:rsidRPr="00000000" w14:paraId="00000037">
      <w:pPr>
        <w:spacing w:after="240" w:before="240" w:lineRule="auto"/>
        <w:jc w:val="both"/>
        <w:rPr>
          <w:rFonts w:ascii="Titillium Web" w:cs="Titillium Web" w:eastAsia="Titillium Web" w:hAnsi="Titillium Web"/>
        </w:rPr>
      </w:pPr>
      <w:r w:rsidDel="00000000" w:rsidR="00000000" w:rsidRPr="00000000">
        <w:rPr>
          <w:rFonts w:ascii="Titillium Web" w:cs="Titillium Web" w:eastAsia="Titillium Web" w:hAnsi="Titillium Web"/>
          <w:rtl w:val="0"/>
        </w:rPr>
        <w:t xml:space="preserve">Pour le climat : la moitié des objectifs serait atteignable en végétalisant l'alimentation.</w:t>
      </w:r>
    </w:p>
    <w:sectPr>
      <w:headerReference r:id="rId8" w:type="default"/>
      <w:footerReference r:id="rId9" w:type="default"/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tillium Web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38">
    <w:pPr>
      <w:rPr/>
    </w:pPr>
    <w:r w:rsidDel="00000000" w:rsidR="00000000" w:rsidRPr="00000000">
      <w:rPr>
        <w:rtl w:val="0"/>
      </w:rPr>
      <w:tab/>
      <w:tab/>
      <w:tab/>
      <w:tab/>
      <w:tab/>
      <w:tab/>
      <w:tab/>
      <w:tab/>
      <w:tab/>
      <w:tab/>
      <w:tab/>
      <w:tab/>
    </w:r>
    <w:r w:rsidDel="00000000" w:rsidR="00000000" w:rsidRPr="00000000">
      <w:rPr/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39">
    <w:pPr>
      <w:rPr/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114300" distT="114300" distL="114300" distR="114300" hidden="0" layoutInCell="1" locked="0" relativeHeight="0" simplePos="0">
          <wp:simplePos x="0" y="0"/>
          <wp:positionH relativeFrom="column">
            <wp:posOffset>-523874</wp:posOffset>
          </wp:positionH>
          <wp:positionV relativeFrom="paragraph">
            <wp:posOffset>-219074</wp:posOffset>
          </wp:positionV>
          <wp:extent cx="934140" cy="481013"/>
          <wp:effectExtent b="0" l="0" r="0" t="0"/>
          <wp:wrapNone/>
          <wp:docPr id="3" name="image2.png"/>
          <a:graphic>
            <a:graphicData uri="http://schemas.openxmlformats.org/drawingml/2006/picture">
              <pic:pic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934140" cy="481013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drawing>
        <wp:anchor allowOverlap="1" behindDoc="0" distB="114300" distT="114300" distL="114300" distR="114300" hidden="0" layoutInCell="1" locked="0" relativeHeight="0" simplePos="0">
          <wp:simplePos x="0" y="0"/>
          <wp:positionH relativeFrom="column">
            <wp:posOffset>4819650</wp:posOffset>
          </wp:positionH>
          <wp:positionV relativeFrom="paragraph">
            <wp:posOffset>-104774</wp:posOffset>
          </wp:positionV>
          <wp:extent cx="1357313" cy="254178"/>
          <wp:effectExtent b="0" l="0" r="0" t="0"/>
          <wp:wrapNone/>
          <wp:docPr id="2" name="image3.png"/>
          <a:graphic>
            <a:graphicData uri="http://schemas.openxmlformats.org/drawingml/2006/picture">
              <pic:pic>
                <pic:nvPicPr>
                  <pic:cNvPr id="0" name="image3.png"/>
                  <pic:cNvPicPr preferRelativeResize="0"/>
                </pic:nvPicPr>
                <pic:blipFill>
                  <a:blip r:embed="rId2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357313" cy="254178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3A">
    <w:pPr>
      <w:jc w:val="center"/>
      <w:rPr/>
    </w:pPr>
    <w:r w:rsidDel="00000000" w:rsidR="00000000" w:rsidRPr="00000000">
      <w:pict>
        <v:rect style="width:0.0pt;height:1.5pt" o:hr="t" o:hrstd="t" o:hralign="center" fillcolor="#A0A0A0" stroked="f"/>
      </w:pic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fr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image" Target="media/image4.png"/><Relationship Id="rId7" Type="http://schemas.openxmlformats.org/officeDocument/2006/relationships/image" Target="media/image1.png"/><Relationship Id="rId8" Type="http://schemas.openxmlformats.org/officeDocument/2006/relationships/header" Target="head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TitilliumWeb-regular.ttf"/><Relationship Id="rId2" Type="http://schemas.openxmlformats.org/officeDocument/2006/relationships/font" Target="fonts/TitilliumWeb-bold.ttf"/><Relationship Id="rId3" Type="http://schemas.openxmlformats.org/officeDocument/2006/relationships/font" Target="fonts/TitilliumWeb-italic.ttf"/><Relationship Id="rId4" Type="http://schemas.openxmlformats.org/officeDocument/2006/relationships/font" Target="fonts/TitilliumWeb-boldItalic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Relationship Id="rId2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