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tillium Web" w:cs="Titillium Web" w:eastAsia="Titillium Web" w:hAnsi="Titillium Web"/>
          <w:b w:val="1"/>
          <w:sz w:val="36"/>
          <w:szCs w:val="36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sz w:val="36"/>
          <w:szCs w:val="36"/>
          <w:rtl w:val="0"/>
        </w:rPr>
        <w:t xml:space="preserve">Soutenances TFE - IECO</w:t>
      </w:r>
    </w:p>
    <w:tbl>
      <w:tblPr>
        <w:tblStyle w:val="Table1"/>
        <w:tblW w:w="9025.511811023622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1989.328074985481"/>
        <w:gridCol w:w="2442.151780770114"/>
        <w:gridCol w:w="3080.749314568955"/>
        <w:gridCol w:w="1513.282640699072"/>
        <w:tblGridChange w:id="0">
          <w:tblGrid>
            <w:gridCol w:w="1989.328074985481"/>
            <w:gridCol w:w="2442.151780770114"/>
            <w:gridCol w:w="3080.749314568955"/>
            <w:gridCol w:w="1513.282640699072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Date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widowControl w:val="0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Lieu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Intervenant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Présents</w:t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28/09/2022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T127</w:t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rPr>
                <w:rFonts w:ascii="Titillium Web" w:cs="Titillium Web" w:eastAsia="Titillium Web" w:hAnsi="Titillium Web"/>
              </w:rPr>
            </w:pPr>
            <w:r w:rsidDel="00000000" w:rsidR="00000000" w:rsidRPr="00000000">
              <w:rPr>
                <w:rFonts w:ascii="Titillium Web" w:cs="Titillium Web" w:eastAsia="Titillium Web" w:hAnsi="Titillium Web"/>
                <w:rtl w:val="0"/>
              </w:rPr>
              <w:t xml:space="preserve">IECO, JM</w:t>
            </w:r>
          </w:p>
        </w:tc>
      </w:tr>
    </w:tbl>
    <w:p w:rsidR="00000000" w:rsidDel="00000000" w:rsidP="00000000" w:rsidRDefault="00000000" w:rsidRPr="00000000" w14:paraId="0000000B">
      <w:pPr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both"/>
        <w:rPr>
          <w:rFonts w:ascii="Titillium Web" w:cs="Titillium Web" w:eastAsia="Titillium Web" w:hAnsi="Titillium Web"/>
          <w:b w:val="1"/>
          <w:sz w:val="32"/>
          <w:szCs w:val="32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sz w:val="32"/>
          <w:szCs w:val="32"/>
          <w:rtl w:val="0"/>
        </w:rPr>
        <w:t xml:space="preserve">Ce document récapitule des soutenances de travaux de fin d’étude d’élèves ingénieurs de troisième année. Nous avons assisté à ces soutenances et pris quelques notes.</w:t>
      </w:r>
    </w:p>
    <w:p w:rsidR="00000000" w:rsidDel="00000000" w:rsidP="00000000" w:rsidRDefault="00000000" w:rsidRPr="00000000" w14:paraId="0000000D">
      <w:pPr>
        <w:jc w:val="both"/>
        <w:rPr>
          <w:rFonts w:ascii="Titillium Web" w:cs="Titillium Web" w:eastAsia="Titillium Web" w:hAnsi="Titillium Web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rFonts w:ascii="Titillium Web" w:cs="Titillium Web" w:eastAsia="Titillium Web" w:hAnsi="Titillium Web"/>
          <w:b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rFonts w:ascii="Titillium Web" w:cs="Titillium Web" w:eastAsia="Titillium Web" w:hAnsi="Titillium Web"/>
          <w:b w:val="1"/>
          <w:sz w:val="32"/>
          <w:szCs w:val="32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sz w:val="32"/>
          <w:szCs w:val="32"/>
          <w:rtl w:val="0"/>
        </w:rPr>
        <w:t xml:space="preserve">Stage ENOOIA - Romane Cariou</w:t>
      </w:r>
    </w:p>
    <w:p w:rsidR="00000000" w:rsidDel="00000000" w:rsidP="00000000" w:rsidRDefault="00000000" w:rsidRPr="00000000" w14:paraId="00000010">
      <w:pPr>
        <w:jc w:val="both"/>
        <w:rPr>
          <w:rFonts w:ascii="Titillium Web" w:cs="Titillium Web" w:eastAsia="Titillium Web" w:hAnsi="Titillium Web"/>
          <w:b w:val="1"/>
          <w:color w:val="1155cc"/>
          <w:u w:val="single"/>
        </w:rPr>
      </w:pPr>
      <w:hyperlink r:id="rId6">
        <w:r w:rsidDel="00000000" w:rsidR="00000000" w:rsidRPr="00000000">
          <w:rPr>
            <w:rFonts w:ascii="Titillium Web" w:cs="Titillium Web" w:eastAsia="Titillium Web" w:hAnsi="Titillium Web"/>
            <w:b w:val="1"/>
            <w:color w:val="1155cc"/>
            <w:u w:val="single"/>
            <w:rtl w:val="0"/>
          </w:rPr>
          <w:t xml:space="preserve">https://enooia.fr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Titillium Web" w:cs="Titillium Web" w:eastAsia="Titillium Web" w:hAnsi="Titillium Web"/>
          <w:u w:val="single"/>
        </w:rPr>
      </w:pPr>
      <w:r w:rsidDel="00000000" w:rsidR="00000000" w:rsidRPr="00000000">
        <w:rPr>
          <w:rFonts w:ascii="Titillium Web" w:cs="Titillium Web" w:eastAsia="Titillium Web" w:hAnsi="Titillium Web"/>
          <w:u w:val="single"/>
          <w:rtl w:val="0"/>
        </w:rPr>
        <w:t xml:space="preserve">but du stage 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rFonts w:ascii="Titillium Web" w:cs="Titillium Web" w:eastAsia="Titillium Web" w:hAnsi="Titillium Web"/>
          <w:b w:val="1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Création d’une offre territoires bas carbone</w:t>
      </w:r>
    </w:p>
    <w:p w:rsidR="00000000" w:rsidDel="00000000" w:rsidP="00000000" w:rsidRDefault="00000000" w:rsidRPr="00000000" w14:paraId="00000014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Accompagnement des collectivités dans leur transition écologique</w:t>
      </w:r>
    </w:p>
    <w:p w:rsidR="00000000" w:rsidDel="00000000" w:rsidP="00000000" w:rsidRDefault="00000000" w:rsidRPr="00000000" w14:paraId="00000015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>
          <w:rFonts w:ascii="Titillium Web" w:cs="Titillium Web" w:eastAsia="Titillium Web" w:hAnsi="Titillium Web"/>
          <w:u w:val="single"/>
        </w:rPr>
      </w:pPr>
      <w:r w:rsidDel="00000000" w:rsidR="00000000" w:rsidRPr="00000000">
        <w:rPr>
          <w:rFonts w:ascii="Titillium Web" w:cs="Titillium Web" w:eastAsia="Titillium Web" w:hAnsi="Titillium Web"/>
          <w:u w:val="single"/>
          <w:rtl w:val="0"/>
        </w:rPr>
        <w:t xml:space="preserve">travail réalisé : </w:t>
      </w:r>
    </w:p>
    <w:p w:rsidR="00000000" w:rsidDel="00000000" w:rsidP="00000000" w:rsidRDefault="00000000" w:rsidRPr="00000000" w14:paraId="00000017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Travail bibliographique Nationale, régionale, locale,</w:t>
      </w:r>
    </w:p>
    <w:p w:rsidR="00000000" w:rsidDel="00000000" w:rsidP="00000000" w:rsidRDefault="00000000" w:rsidRPr="00000000" w14:paraId="00000018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Etats de l’art des mesures déjà comprises</w:t>
      </w:r>
    </w:p>
    <w:p w:rsidR="00000000" w:rsidDel="00000000" w:rsidP="00000000" w:rsidRDefault="00000000" w:rsidRPr="00000000" w14:paraId="00000019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Baromètre des mesures déjà en place ex: La Rochelle</w:t>
      </w:r>
    </w:p>
    <w:p w:rsidR="00000000" w:rsidDel="00000000" w:rsidP="00000000" w:rsidRDefault="00000000" w:rsidRPr="00000000" w14:paraId="0000001A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Accompagnement de la start-up GGT Green Gen Technologies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before="240" w:lineRule="auto"/>
        <w:ind w:left="720" w:hanging="360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Planification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Eco-conception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0" w:beforeAutospacing="0" w:lineRule="auto"/>
        <w:ind w:left="720" w:hanging="360"/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Bilan carbone et ACV</w:t>
      </w:r>
    </w:p>
    <w:p w:rsidR="00000000" w:rsidDel="00000000" w:rsidP="00000000" w:rsidRDefault="00000000" w:rsidRPr="00000000" w14:paraId="0000001F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Perspectives : Cargonomia </w:t>
      </w:r>
    </w:p>
    <w:p w:rsidR="00000000" w:rsidDel="00000000" w:rsidP="00000000" w:rsidRDefault="00000000" w:rsidRPr="00000000" w14:paraId="00000021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La méthode Empreinte Projet est une première étape dans l'évaluation environnementale des projets. Elle permettra notamment aux porteurs d'appels à projets de l'</w:t>
      </w: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ADEME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 de fournir un cadre aux porteurs de projets pour leur évaluation.</w:t>
      </w:r>
    </w:p>
    <w:p w:rsidR="00000000" w:rsidDel="00000000" w:rsidP="00000000" w:rsidRDefault="00000000" w:rsidRPr="00000000" w14:paraId="00000023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Basée sur la philosophie de l'ACV conséquentielle, Empreinte Projet reprend les apports de la méthode QuantiGES développée[…]  </w:t>
      </w:r>
    </w:p>
    <w:p w:rsidR="00000000" w:rsidDel="00000000" w:rsidP="00000000" w:rsidRDefault="00000000" w:rsidRPr="00000000" w14:paraId="00000024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Mots techniques : PCAET, SNBC, SRADDET, neoterra feuille de route </w:t>
      </w:r>
    </w:p>
    <w:p w:rsidR="00000000" w:rsidDel="00000000" w:rsidP="00000000" w:rsidRDefault="00000000" w:rsidRPr="00000000" w14:paraId="00000026">
      <w:pPr>
        <w:jc w:val="both"/>
        <w:rPr>
          <w:rFonts w:ascii="Titillium Web" w:cs="Titillium Web" w:eastAsia="Titillium Web" w:hAnsi="Titillium We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>
          <w:rFonts w:ascii="Titillium Web" w:cs="Titillium Web" w:eastAsia="Titillium Web" w:hAnsi="Titillium Web"/>
          <w:b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jc w:val="both"/>
        <w:rPr>
          <w:rFonts w:ascii="Titillium Web" w:cs="Titillium Web" w:eastAsia="Titillium Web" w:hAnsi="Titillium Web"/>
          <w:b w:val="1"/>
          <w:sz w:val="32"/>
          <w:szCs w:val="32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sz w:val="32"/>
          <w:szCs w:val="32"/>
          <w:rtl w:val="0"/>
        </w:rPr>
        <w:t xml:space="preserve">Stage EPSA - François Dugenest</w:t>
      </w:r>
    </w:p>
    <w:p w:rsidR="00000000" w:rsidDel="00000000" w:rsidP="00000000" w:rsidRDefault="00000000" w:rsidRPr="00000000" w14:paraId="00000029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Missions 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CEE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 - Dispositif “C2E”</w:t>
      </w:r>
    </w:p>
    <w:p w:rsidR="00000000" w:rsidDel="00000000" w:rsidP="00000000" w:rsidRDefault="00000000" w:rsidRPr="00000000" w14:paraId="0000002B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CEE Standard et CEE spécifique</w:t>
      </w: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 (fiche technique, MGWhqmac, MGWh évité) </w:t>
      </w:r>
    </w:p>
    <w:p w:rsidR="00000000" w:rsidDel="00000000" w:rsidP="00000000" w:rsidRDefault="00000000" w:rsidRPr="00000000" w14:paraId="0000002C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Monter les dossiers, chiffrer les économies</w:t>
      </w:r>
    </w:p>
    <w:p w:rsidR="00000000" w:rsidDel="00000000" w:rsidP="00000000" w:rsidRDefault="00000000" w:rsidRPr="00000000" w14:paraId="0000002E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Fiche Standard action classique</w:t>
      </w:r>
    </w:p>
    <w:p w:rsidR="00000000" w:rsidDel="00000000" w:rsidP="00000000" w:rsidRDefault="00000000" w:rsidRPr="00000000" w14:paraId="00000030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Etude du projet/Dossier</w:t>
      </w:r>
    </w:p>
    <w:p w:rsidR="00000000" w:rsidDel="00000000" w:rsidP="00000000" w:rsidRDefault="00000000" w:rsidRPr="00000000" w14:paraId="00000031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Commande</w:t>
      </w:r>
    </w:p>
    <w:p w:rsidR="00000000" w:rsidDel="00000000" w:rsidP="00000000" w:rsidRDefault="00000000" w:rsidRPr="00000000" w14:paraId="00000032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Travaux</w:t>
      </w:r>
    </w:p>
    <w:p w:rsidR="00000000" w:rsidDel="00000000" w:rsidP="00000000" w:rsidRDefault="00000000" w:rsidRPr="00000000" w14:paraId="00000033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Facturation (taux de partage)</w:t>
      </w:r>
    </w:p>
    <w:p w:rsidR="00000000" w:rsidDel="00000000" w:rsidP="00000000" w:rsidRDefault="00000000" w:rsidRPr="00000000" w14:paraId="00000034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Missions efficacité énergétique</w:t>
      </w:r>
    </w:p>
    <w:p w:rsidR="00000000" w:rsidDel="00000000" w:rsidP="00000000" w:rsidRDefault="00000000" w:rsidRPr="00000000" w14:paraId="00000036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Equipe énergie/innovation obtention des subventions/achat d’énergie (courtage), optimisation des Taxes énergétiques</w:t>
      </w:r>
    </w:p>
    <w:p w:rsidR="00000000" w:rsidDel="00000000" w:rsidP="00000000" w:rsidRDefault="00000000" w:rsidRPr="00000000" w14:paraId="00000037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Diagnostic - Quantification - Réalisation </w:t>
      </w:r>
    </w:p>
    <w:p w:rsidR="00000000" w:rsidDel="00000000" w:rsidP="00000000" w:rsidRDefault="00000000" w:rsidRPr="00000000" w14:paraId="00000039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Diag : audit, identifier les opportunités, quantification</w:t>
      </w:r>
    </w:p>
    <w:p w:rsidR="00000000" w:rsidDel="00000000" w:rsidP="00000000" w:rsidRDefault="00000000" w:rsidRPr="00000000" w14:paraId="0000003B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Quantification : possible (sous conteurs, SME), impossibles,</w:t>
      </w:r>
    </w:p>
    <w:p w:rsidR="00000000" w:rsidDel="00000000" w:rsidP="00000000" w:rsidRDefault="00000000" w:rsidRPr="00000000" w14:paraId="0000003C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EPSA : taux de partage sur les économies, rémunérer sur les économies, </w:t>
      </w:r>
    </w:p>
    <w:p w:rsidR="00000000" w:rsidDel="00000000" w:rsidP="00000000" w:rsidRDefault="00000000" w:rsidRPr="00000000" w14:paraId="0000003E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TRI : taux retour sur investissement </w:t>
      </w:r>
    </w:p>
    <w:p w:rsidR="00000000" w:rsidDel="00000000" w:rsidP="00000000" w:rsidRDefault="00000000" w:rsidRPr="00000000" w14:paraId="00000040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jc w:val="both"/>
        <w:rPr>
          <w:rFonts w:ascii="Titillium Web" w:cs="Titillium Web" w:eastAsia="Titillium Web" w:hAnsi="Titillium Web"/>
          <w:b w:val="1"/>
          <w:sz w:val="32"/>
          <w:szCs w:val="32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Mot technique : </w:t>
      </w:r>
      <w:r w:rsidDel="00000000" w:rsidR="00000000" w:rsidRPr="00000000">
        <w:rPr>
          <w:rFonts w:ascii="Titillium Web" w:cs="Titillium Web" w:eastAsia="Titillium Web" w:hAnsi="Titillium Web"/>
          <w:b w:val="1"/>
          <w:rtl w:val="0"/>
        </w:rPr>
        <w:t xml:space="preserve">CETIAT, décret tertiaire,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>
          <w:rFonts w:ascii="Titillium Web" w:cs="Titillium Web" w:eastAsia="Titillium Web" w:hAnsi="Titillium Web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jc w:val="both"/>
        <w:rPr>
          <w:rFonts w:ascii="Titillium Web" w:cs="Titillium Web" w:eastAsia="Titillium Web" w:hAnsi="Titillium Web"/>
          <w:b w:val="1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both"/>
        <w:rPr>
          <w:rFonts w:ascii="Titillium Web" w:cs="Titillium Web" w:eastAsia="Titillium Web" w:hAnsi="Titillium Web"/>
          <w:b w:val="1"/>
          <w:sz w:val="32"/>
          <w:szCs w:val="32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sz w:val="32"/>
          <w:szCs w:val="32"/>
          <w:rtl w:val="0"/>
        </w:rPr>
        <w:t xml:space="preserve">Stade TooValu - Paul Lecorre </w:t>
      </w:r>
    </w:p>
    <w:p w:rsidR="00000000" w:rsidDel="00000000" w:rsidP="00000000" w:rsidRDefault="00000000" w:rsidRPr="00000000" w14:paraId="00000045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ACT</w:t>
      </w:r>
    </w:p>
    <w:p w:rsidR="00000000" w:rsidDel="00000000" w:rsidP="00000000" w:rsidRDefault="00000000" w:rsidRPr="00000000" w14:paraId="00000047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Bilan GES</w:t>
      </w:r>
    </w:p>
    <w:p w:rsidR="00000000" w:rsidDel="00000000" w:rsidP="00000000" w:rsidRDefault="00000000" w:rsidRPr="00000000" w14:paraId="00000048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Outil TooValu : poste d’émission, outil au service du conseil</w:t>
      </w:r>
    </w:p>
    <w:p w:rsidR="00000000" w:rsidDel="00000000" w:rsidP="00000000" w:rsidRDefault="00000000" w:rsidRPr="00000000" w14:paraId="00000049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Démarche bas-carbone : engager, mesurer, projeter, piloter, influencer, contribuer</w:t>
      </w:r>
    </w:p>
    <w:p w:rsidR="00000000" w:rsidDel="00000000" w:rsidP="00000000" w:rsidRDefault="00000000" w:rsidRPr="00000000" w14:paraId="0000004B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jc w:val="both"/>
        <w:rPr>
          <w:rFonts w:ascii="Titillium Web" w:cs="Titillium Web" w:eastAsia="Titillium Web" w:hAnsi="Titillium Web"/>
          <w:b w:val="1"/>
          <w:sz w:val="32"/>
          <w:szCs w:val="32"/>
        </w:rPr>
      </w:pPr>
      <w:r w:rsidDel="00000000" w:rsidR="00000000" w:rsidRPr="00000000">
        <w:rPr>
          <w:rFonts w:ascii="Titillium Web" w:cs="Titillium Web" w:eastAsia="Titillium Web" w:hAnsi="Titillium Web"/>
          <w:b w:val="1"/>
          <w:sz w:val="32"/>
          <w:szCs w:val="32"/>
          <w:rtl w:val="0"/>
        </w:rPr>
        <w:t xml:space="preserve">Stage Efund - Hugo Berthier</w:t>
      </w:r>
    </w:p>
    <w:p w:rsidR="00000000" w:rsidDel="00000000" w:rsidP="00000000" w:rsidRDefault="00000000" w:rsidRPr="00000000" w14:paraId="0000004D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Commission Européenne - Horizon Europe</w:t>
      </w:r>
    </w:p>
    <w:p w:rsidR="00000000" w:rsidDel="00000000" w:rsidP="00000000" w:rsidRDefault="00000000" w:rsidRPr="00000000" w14:paraId="0000004E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Paramètres choix de l’appel : budget, type de projet, nombre de projets financés, sujet de l’appel</w:t>
      </w:r>
    </w:p>
    <w:p w:rsidR="00000000" w:rsidDel="00000000" w:rsidP="00000000" w:rsidRDefault="00000000" w:rsidRPr="00000000" w14:paraId="00000050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Prospection : former la core team du consortium ; concept, WP structure ; WARNING : type de projet et piloter correctement la prospection</w:t>
      </w:r>
    </w:p>
    <w:p w:rsidR="00000000" w:rsidDel="00000000" w:rsidP="00000000" w:rsidRDefault="00000000" w:rsidRPr="00000000" w14:paraId="00000052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Aisance à l’oral, mener un meeting à son terme, traiter de sujets commerciaux. </w:t>
      </w:r>
    </w:p>
    <w:p w:rsidR="00000000" w:rsidDel="00000000" w:rsidP="00000000" w:rsidRDefault="00000000" w:rsidRPr="00000000" w14:paraId="00000053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Construction du projet : tâches à réaliser (concept du projet, task map, compléter le consortium, construction du budget).</w:t>
      </w:r>
    </w:p>
    <w:p w:rsidR="00000000" w:rsidDel="00000000" w:rsidP="00000000" w:rsidRDefault="00000000" w:rsidRPr="00000000" w14:paraId="00000055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Rédaction de la proposition : beaucoup d'engagements, gérer les imprévus. </w:t>
      </w:r>
    </w:p>
    <w:p w:rsidR="00000000" w:rsidDel="00000000" w:rsidP="00000000" w:rsidRDefault="00000000" w:rsidRPr="00000000" w14:paraId="00000057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Proposal general structure</w:t>
      </w:r>
    </w:p>
    <w:p w:rsidR="00000000" w:rsidDel="00000000" w:rsidP="00000000" w:rsidRDefault="00000000" w:rsidRPr="00000000" w14:paraId="00000058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Le pouvoir mélien </w:t>
      </w:r>
    </w:p>
    <w:p w:rsidR="00000000" w:rsidDel="00000000" w:rsidP="00000000" w:rsidRDefault="00000000" w:rsidRPr="00000000" w14:paraId="0000005A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Fonts w:ascii="Titillium Web" w:cs="Titillium Web" w:eastAsia="Titillium Web" w:hAnsi="Titillium Web"/>
          <w:rtl w:val="0"/>
        </w:rPr>
        <w:t xml:space="preserve">Mots technique : entreprise à mission, réponse à la demande</w:t>
      </w:r>
    </w:p>
    <w:p w:rsidR="00000000" w:rsidDel="00000000" w:rsidP="00000000" w:rsidRDefault="00000000" w:rsidRPr="00000000" w14:paraId="0000005C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>
          <w:rFonts w:ascii="Titillium Web" w:cs="Titillium Web" w:eastAsia="Titillium Web" w:hAnsi="Titillium Web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40" w:before="240" w:lineRule="auto"/>
        <w:jc w:val="both"/>
        <w:rPr>
          <w:rFonts w:ascii="Titillium Web" w:cs="Titillium Web" w:eastAsia="Titillium Web" w:hAnsi="Titillium Web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240" w:before="240" w:lineRule="auto"/>
        <w:jc w:val="both"/>
        <w:rPr>
          <w:rFonts w:ascii="Titillium Web" w:cs="Titillium Web" w:eastAsia="Titillium Web" w:hAnsi="Titillium Web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tillium Web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0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4819650</wp:posOffset>
          </wp:positionH>
          <wp:positionV relativeFrom="paragraph">
            <wp:posOffset>-104774</wp:posOffset>
          </wp:positionV>
          <wp:extent cx="1357313" cy="254178"/>
          <wp:effectExtent b="0" l="0" r="0" t="0"/>
          <wp:wrapNone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25417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-523874</wp:posOffset>
          </wp:positionH>
          <wp:positionV relativeFrom="paragraph">
            <wp:posOffset>-219074</wp:posOffset>
          </wp:positionV>
          <wp:extent cx="934140" cy="481013"/>
          <wp:effectExtent b="0" l="0" r="0" t="0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34140" cy="48101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61">
    <w:pPr>
      <w:jc w:val="center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f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enooia.fr" TargetMode="Externa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itilliumWeb-regular.ttf"/><Relationship Id="rId2" Type="http://schemas.openxmlformats.org/officeDocument/2006/relationships/font" Target="fonts/TitilliumWeb-bold.ttf"/><Relationship Id="rId3" Type="http://schemas.openxmlformats.org/officeDocument/2006/relationships/font" Target="fonts/TitilliumWeb-italic.ttf"/><Relationship Id="rId4" Type="http://schemas.openxmlformats.org/officeDocument/2006/relationships/font" Target="fonts/TitilliumWeb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