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rFonts w:ascii="Titillium Web" w:cs="Titillium Web" w:eastAsia="Titillium Web" w:hAnsi="Titillium Web"/>
        </w:rPr>
      </w:pPr>
      <w:r w:rsidDel="00000000" w:rsidR="00000000" w:rsidRPr="00000000">
        <w:rPr>
          <w:rtl w:val="0"/>
        </w:rPr>
      </w:r>
    </w:p>
    <w:p w:rsidR="00000000" w:rsidDel="00000000" w:rsidP="00000000" w:rsidRDefault="00000000" w:rsidRPr="00000000" w14:paraId="00000002">
      <w:pPr>
        <w:spacing w:after="240" w:before="240" w:lineRule="auto"/>
        <w:jc w:val="center"/>
        <w:rPr>
          <w:rFonts w:ascii="Titillium Web" w:cs="Titillium Web" w:eastAsia="Titillium Web" w:hAnsi="Titillium Web"/>
          <w:b w:val="1"/>
          <w:sz w:val="36"/>
          <w:szCs w:val="36"/>
        </w:rPr>
      </w:pPr>
      <w:r w:rsidDel="00000000" w:rsidR="00000000" w:rsidRPr="00000000">
        <w:rPr>
          <w:rFonts w:ascii="Titillium Web" w:cs="Titillium Web" w:eastAsia="Titillium Web" w:hAnsi="Titillium Web"/>
          <w:b w:val="1"/>
          <w:sz w:val="36"/>
          <w:szCs w:val="36"/>
          <w:rtl w:val="0"/>
        </w:rPr>
        <w:t xml:space="preserve">Confort thermique</w:t>
      </w:r>
    </w:p>
    <w:tbl>
      <w:tblPr>
        <w:tblStyle w:val="Table1"/>
        <w:tblW w:w="9025.511811023622"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1989.328074985481"/>
        <w:gridCol w:w="2442.151780770114"/>
        <w:gridCol w:w="3080.749314568955"/>
        <w:gridCol w:w="1513.282640699072"/>
        <w:tblGridChange w:id="0">
          <w:tblGrid>
            <w:gridCol w:w="1989.328074985481"/>
            <w:gridCol w:w="2442.151780770114"/>
            <w:gridCol w:w="3080.749314568955"/>
            <w:gridCol w:w="1513.282640699072"/>
          </w:tblGrid>
        </w:tblGridChange>
      </w:tblGrid>
      <w:tr>
        <w:trPr>
          <w:cantSplit w:val="0"/>
          <w:trHeight w:val="635" w:hRule="atLeast"/>
          <w:tblHeader w:val="0"/>
        </w:trPr>
        <w:tc>
          <w:tcPr>
            <w:tcMar>
              <w:top w:w="100.0" w:type="dxa"/>
              <w:left w:w="100.0" w:type="dxa"/>
              <w:bottom w:w="100.0" w:type="dxa"/>
              <w:right w:w="100.0" w:type="dxa"/>
            </w:tcMar>
            <w:vAlign w:val="top"/>
          </w:tcPr>
          <w:p w:rsidR="00000000" w:rsidDel="00000000" w:rsidP="00000000" w:rsidRDefault="00000000" w:rsidRPr="00000000" w14:paraId="00000003">
            <w:pPr>
              <w:rPr>
                <w:rFonts w:ascii="Titillium Web" w:cs="Titillium Web" w:eastAsia="Titillium Web" w:hAnsi="Titillium Web"/>
              </w:rPr>
            </w:pPr>
            <w:r w:rsidDel="00000000" w:rsidR="00000000" w:rsidRPr="00000000">
              <w:rPr>
                <w:rFonts w:ascii="Titillium Web" w:cs="Titillium Web" w:eastAsia="Titillium Web" w:hAnsi="Titillium Web"/>
                <w:rtl w:val="0"/>
              </w:rPr>
              <w:t xml:space="preserve">Date</w:t>
            </w:r>
          </w:p>
        </w:tc>
        <w:tc>
          <w:tcPr>
            <w:tcMar>
              <w:top w:w="100.0" w:type="dxa"/>
              <w:left w:w="100.0" w:type="dxa"/>
              <w:bottom w:w="100.0" w:type="dxa"/>
              <w:right w:w="100.0" w:type="dxa"/>
            </w:tcMar>
            <w:vAlign w:val="top"/>
          </w:tcPr>
          <w:p w:rsidR="00000000" w:rsidDel="00000000" w:rsidP="00000000" w:rsidRDefault="00000000" w:rsidRPr="00000000" w14:paraId="00000004">
            <w:pPr>
              <w:widowControl w:val="0"/>
              <w:rPr>
                <w:rFonts w:ascii="Titillium Web" w:cs="Titillium Web" w:eastAsia="Titillium Web" w:hAnsi="Titillium Web"/>
              </w:rPr>
            </w:pPr>
            <w:r w:rsidDel="00000000" w:rsidR="00000000" w:rsidRPr="00000000">
              <w:rPr>
                <w:rFonts w:ascii="Titillium Web" w:cs="Titillium Web" w:eastAsia="Titillium Web" w:hAnsi="Titillium Web"/>
                <w:rtl w:val="0"/>
              </w:rPr>
              <w:t xml:space="preserve">Lieu</w:t>
            </w:r>
          </w:p>
        </w:tc>
        <w:tc>
          <w:tcPr>
            <w:tcMar>
              <w:top w:w="100.0" w:type="dxa"/>
              <w:left w:w="100.0" w:type="dxa"/>
              <w:bottom w:w="100.0" w:type="dxa"/>
              <w:right w:w="100.0" w:type="dxa"/>
            </w:tcMar>
            <w:vAlign w:val="top"/>
          </w:tcPr>
          <w:p w:rsidR="00000000" w:rsidDel="00000000" w:rsidP="00000000" w:rsidRDefault="00000000" w:rsidRPr="00000000" w14:paraId="00000005">
            <w:pPr>
              <w:widowControl w:val="0"/>
              <w:rPr>
                <w:rFonts w:ascii="Titillium Web" w:cs="Titillium Web" w:eastAsia="Titillium Web" w:hAnsi="Titillium Web"/>
              </w:rPr>
            </w:pPr>
            <w:r w:rsidDel="00000000" w:rsidR="00000000" w:rsidRPr="00000000">
              <w:rPr>
                <w:rFonts w:ascii="Titillium Web" w:cs="Titillium Web" w:eastAsia="Titillium Web" w:hAnsi="Titillium Web"/>
                <w:rtl w:val="0"/>
              </w:rPr>
              <w:t xml:space="preserve">Intervenant</w:t>
            </w:r>
          </w:p>
        </w:tc>
        <w:tc>
          <w:tcPr>
            <w:tcMar>
              <w:top w:w="100.0" w:type="dxa"/>
              <w:left w:w="100.0" w:type="dxa"/>
              <w:bottom w:w="100.0" w:type="dxa"/>
              <w:right w:w="100.0" w:type="dxa"/>
            </w:tcMar>
            <w:vAlign w:val="top"/>
          </w:tcPr>
          <w:p w:rsidR="00000000" w:rsidDel="00000000" w:rsidP="00000000" w:rsidRDefault="00000000" w:rsidRPr="00000000" w14:paraId="00000006">
            <w:pPr>
              <w:widowControl w:val="0"/>
              <w:rPr>
                <w:rFonts w:ascii="Titillium Web" w:cs="Titillium Web" w:eastAsia="Titillium Web" w:hAnsi="Titillium Web"/>
              </w:rPr>
            </w:pPr>
            <w:r w:rsidDel="00000000" w:rsidR="00000000" w:rsidRPr="00000000">
              <w:rPr>
                <w:rFonts w:ascii="Titillium Web" w:cs="Titillium Web" w:eastAsia="Titillium Web" w:hAnsi="Titillium Web"/>
                <w:rtl w:val="0"/>
              </w:rPr>
              <w:t xml:space="preserve">Présents</w:t>
            </w:r>
          </w:p>
        </w:tc>
      </w:tr>
      <w:tr>
        <w:trPr>
          <w:cantSplit w:val="0"/>
          <w:trHeight w:val="635" w:hRule="atLeast"/>
          <w:tblHeader w:val="0"/>
        </w:trPr>
        <w:tc>
          <w:tcPr>
            <w:tcMar>
              <w:top w:w="100.0" w:type="dxa"/>
              <w:left w:w="100.0" w:type="dxa"/>
              <w:bottom w:w="100.0" w:type="dxa"/>
              <w:right w:w="100.0" w:type="dxa"/>
            </w:tcMar>
            <w:vAlign w:val="top"/>
          </w:tcPr>
          <w:p w:rsidR="00000000" w:rsidDel="00000000" w:rsidP="00000000" w:rsidRDefault="00000000" w:rsidRPr="00000000" w14:paraId="00000007">
            <w:pPr>
              <w:widowControl w:val="0"/>
              <w:rPr>
                <w:rFonts w:ascii="Titillium Web" w:cs="Titillium Web" w:eastAsia="Titillium Web" w:hAnsi="Titillium Web"/>
              </w:rPr>
            </w:pPr>
            <w:r w:rsidDel="00000000" w:rsidR="00000000" w:rsidRPr="00000000">
              <w:rPr>
                <w:rFonts w:ascii="Titillium Web" w:cs="Titillium Web" w:eastAsia="Titillium Web" w:hAnsi="Titillium Web"/>
                <w:rtl w:val="0"/>
              </w:rPr>
              <w:t xml:space="preserve">08/11/2022</w:t>
            </w:r>
          </w:p>
        </w:tc>
        <w:tc>
          <w:tcPr>
            <w:tcMar>
              <w:top w:w="100.0" w:type="dxa"/>
              <w:left w:w="100.0" w:type="dxa"/>
              <w:bottom w:w="100.0" w:type="dxa"/>
              <w:right w:w="100.0" w:type="dxa"/>
            </w:tcMar>
            <w:vAlign w:val="top"/>
          </w:tcPr>
          <w:p w:rsidR="00000000" w:rsidDel="00000000" w:rsidP="00000000" w:rsidRDefault="00000000" w:rsidRPr="00000000" w14:paraId="00000008">
            <w:pPr>
              <w:widowControl w:val="0"/>
              <w:rPr>
                <w:rFonts w:ascii="Titillium Web" w:cs="Titillium Web" w:eastAsia="Titillium Web" w:hAnsi="Titillium Web"/>
              </w:rPr>
            </w:pPr>
            <w:r w:rsidDel="00000000" w:rsidR="00000000" w:rsidRPr="00000000">
              <w:rPr>
                <w:rFonts w:ascii="Titillium Web" w:cs="Titillium Web" w:eastAsia="Titillium Web" w:hAnsi="Titillium Web"/>
                <w:rtl w:val="0"/>
              </w:rPr>
              <w:t xml:space="preserve">T127</w:t>
            </w:r>
          </w:p>
        </w:tc>
        <w:tc>
          <w:tcPr>
            <w:tcMar>
              <w:top w:w="100.0" w:type="dxa"/>
              <w:left w:w="100.0" w:type="dxa"/>
              <w:bottom w:w="100.0" w:type="dxa"/>
              <w:right w:w="100.0" w:type="dxa"/>
            </w:tcMar>
            <w:vAlign w:val="top"/>
          </w:tcPr>
          <w:p w:rsidR="00000000" w:rsidDel="00000000" w:rsidP="00000000" w:rsidRDefault="00000000" w:rsidRPr="00000000" w14:paraId="00000009">
            <w:pPr>
              <w:widowControl w:val="0"/>
              <w:rPr>
                <w:rFonts w:ascii="Titillium Web" w:cs="Titillium Web" w:eastAsia="Titillium Web" w:hAnsi="Titillium Web"/>
              </w:rPr>
            </w:pPr>
            <w:r w:rsidDel="00000000" w:rsidR="00000000" w:rsidRPr="00000000">
              <w:rPr>
                <w:rFonts w:ascii="Titillium Web" w:cs="Titillium Web" w:eastAsia="Titillium Web" w:hAnsi="Titillium Web"/>
                <w:rtl w:val="0"/>
              </w:rPr>
              <w:t xml:space="preserve">Jonathan Gueguen</w:t>
            </w:r>
          </w:p>
        </w:tc>
        <w:tc>
          <w:tcPr>
            <w:tcMar>
              <w:top w:w="100.0" w:type="dxa"/>
              <w:left w:w="100.0" w:type="dxa"/>
              <w:bottom w:w="100.0" w:type="dxa"/>
              <w:right w:w="100.0" w:type="dxa"/>
            </w:tcMar>
            <w:vAlign w:val="top"/>
          </w:tcPr>
          <w:p w:rsidR="00000000" w:rsidDel="00000000" w:rsidP="00000000" w:rsidRDefault="00000000" w:rsidRPr="00000000" w14:paraId="0000000A">
            <w:pPr>
              <w:widowControl w:val="0"/>
              <w:rPr>
                <w:rFonts w:ascii="Titillium Web" w:cs="Titillium Web" w:eastAsia="Titillium Web" w:hAnsi="Titillium Web"/>
              </w:rPr>
            </w:pPr>
            <w:r w:rsidDel="00000000" w:rsidR="00000000" w:rsidRPr="00000000">
              <w:rPr>
                <w:rFonts w:ascii="Titillium Web" w:cs="Titillium Web" w:eastAsia="Titillium Web" w:hAnsi="Titillium Web"/>
                <w:rtl w:val="0"/>
              </w:rPr>
              <w:t xml:space="preserve">Tous</w:t>
            </w:r>
          </w:p>
        </w:tc>
      </w:tr>
    </w:tbl>
    <w:p w:rsidR="00000000" w:rsidDel="00000000" w:rsidP="00000000" w:rsidRDefault="00000000" w:rsidRPr="00000000" w14:paraId="0000000B">
      <w:pPr>
        <w:spacing w:after="240" w:before="240" w:lineRule="auto"/>
        <w:jc w:val="both"/>
        <w:rPr>
          <w:rFonts w:ascii="Titillium Web" w:cs="Titillium Web" w:eastAsia="Titillium Web" w:hAnsi="Titillium Web"/>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C">
          <w:pPr>
            <w:widowControl w:val="0"/>
            <w:tabs>
              <w:tab w:val="right" w:leader="none" w:pos="9025.511811023624"/>
            </w:tabs>
            <w:spacing w:before="60" w:line="240" w:lineRule="auto"/>
            <w:rPr>
              <w:b w:val="1"/>
              <w:color w:val="000000"/>
              <w:u w:val="none"/>
            </w:rPr>
          </w:pPr>
          <w:r w:rsidDel="00000000" w:rsidR="00000000" w:rsidRPr="00000000">
            <w:fldChar w:fldCharType="begin"/>
            <w:instrText xml:space="preserve"> TOC \h \u \z \t "Heading 1,1,Heading 2,2,Heading 3,3,Heading 4,4,Heading 5,5,Heading 6,6,"</w:instrText>
            <w:fldChar w:fldCharType="separate"/>
          </w:r>
          <w:hyperlink w:anchor="_6gzx6tcanl9p">
            <w:r w:rsidDel="00000000" w:rsidR="00000000" w:rsidRPr="00000000">
              <w:rPr>
                <w:b w:val="1"/>
                <w:color w:val="000000"/>
                <w:u w:val="none"/>
                <w:rtl w:val="0"/>
              </w:rPr>
              <w:t xml:space="preserve">À quoi sert un foyer ?</w:t>
              <w:tab/>
            </w:r>
          </w:hyperlink>
          <w:r w:rsidDel="00000000" w:rsidR="00000000" w:rsidRPr="00000000">
            <w:fldChar w:fldCharType="begin"/>
            <w:instrText xml:space="preserve"> PAGEREF _6gzx6tcanl9p \h </w:instrText>
            <w:fldChar w:fldCharType="separate"/>
          </w:r>
          <w:r w:rsidDel="00000000" w:rsidR="00000000" w:rsidRPr="00000000">
            <w:rPr>
              <w:b w:val="1"/>
              <w:rtl w:val="0"/>
            </w:rPr>
            <w:t xml:space="preserve">1</w:t>
          </w:r>
          <w:r w:rsidDel="00000000" w:rsidR="00000000" w:rsidRPr="00000000">
            <w:fldChar w:fldCharType="end"/>
          </w:r>
          <w:r w:rsidDel="00000000" w:rsidR="00000000" w:rsidRPr="00000000">
            <w:rPr>
              <w:rtl w:val="0"/>
            </w:rPr>
          </w:r>
        </w:p>
        <w:p w:rsidR="00000000" w:rsidDel="00000000" w:rsidP="00000000" w:rsidRDefault="00000000" w:rsidRPr="00000000" w14:paraId="0000000D">
          <w:pPr>
            <w:widowControl w:val="0"/>
            <w:tabs>
              <w:tab w:val="right" w:leader="none" w:pos="9025.511811023624"/>
            </w:tabs>
            <w:spacing w:before="60" w:line="240" w:lineRule="auto"/>
            <w:rPr>
              <w:b w:val="1"/>
              <w:color w:val="000000"/>
              <w:u w:val="none"/>
            </w:rPr>
          </w:pPr>
          <w:hyperlink w:anchor="_tix314kur0un">
            <w:r w:rsidDel="00000000" w:rsidR="00000000" w:rsidRPr="00000000">
              <w:rPr>
                <w:b w:val="1"/>
                <w:color w:val="000000"/>
                <w:u w:val="none"/>
                <w:rtl w:val="0"/>
              </w:rPr>
              <w:t xml:space="preserve">Confort thermique : quelques notions</w:t>
              <w:tab/>
            </w:r>
          </w:hyperlink>
          <w:r w:rsidDel="00000000" w:rsidR="00000000" w:rsidRPr="00000000">
            <w:fldChar w:fldCharType="begin"/>
            <w:instrText xml:space="preserve"> PAGEREF _tix314kur0un \h </w:instrText>
            <w:fldChar w:fldCharType="separate"/>
          </w:r>
          <w:r w:rsidDel="00000000" w:rsidR="00000000" w:rsidRPr="00000000">
            <w:rPr>
              <w:b w:val="1"/>
              <w:rtl w:val="0"/>
            </w:rPr>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0E">
          <w:pPr>
            <w:widowControl w:val="0"/>
            <w:tabs>
              <w:tab w:val="right" w:leader="none" w:pos="9025.511811023624"/>
            </w:tabs>
            <w:spacing w:before="60" w:line="240" w:lineRule="auto"/>
            <w:rPr>
              <w:b w:val="1"/>
              <w:color w:val="000000"/>
              <w:u w:val="none"/>
            </w:rPr>
          </w:pPr>
          <w:hyperlink w:anchor="_ni9835oqenmw">
            <w:r w:rsidDel="00000000" w:rsidR="00000000" w:rsidRPr="00000000">
              <w:rPr>
                <w:b w:val="1"/>
                <w:color w:val="000000"/>
                <w:u w:val="none"/>
                <w:rtl w:val="0"/>
              </w:rPr>
              <w:t xml:space="preserve">Conception énergétique : les bonnes pratiques</w:t>
              <w:tab/>
            </w:r>
          </w:hyperlink>
          <w:r w:rsidDel="00000000" w:rsidR="00000000" w:rsidRPr="00000000">
            <w:fldChar w:fldCharType="begin"/>
            <w:instrText xml:space="preserve"> PAGEREF _ni9835oqenmw \h </w:instrText>
            <w:fldChar w:fldCharType="separate"/>
          </w:r>
          <w:r w:rsidDel="00000000" w:rsidR="00000000" w:rsidRPr="00000000">
            <w:rPr>
              <w:b w:val="1"/>
              <w:rtl w:val="0"/>
            </w:rPr>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0F">
          <w:pPr>
            <w:widowControl w:val="0"/>
            <w:tabs>
              <w:tab w:val="right" w:leader="none" w:pos="9025.511811023624"/>
            </w:tabs>
            <w:spacing w:before="60" w:line="240" w:lineRule="auto"/>
            <w:rPr>
              <w:b w:val="1"/>
              <w:color w:val="000000"/>
              <w:u w:val="none"/>
            </w:rPr>
          </w:pPr>
          <w:hyperlink w:anchor="_847ve075bjnb">
            <w:r w:rsidDel="00000000" w:rsidR="00000000" w:rsidRPr="00000000">
              <w:rPr>
                <w:b w:val="1"/>
                <w:color w:val="000000"/>
                <w:u w:val="none"/>
                <w:rtl w:val="0"/>
              </w:rPr>
              <w:t xml:space="preserve">BATIER, Cécile. Confort thermique et énergie dans l’habitat social en milieu méditerranéen. 2016. Thèse de doctorat. Université de Montpellier (lien URL)</w:t>
              <w:tab/>
            </w:r>
          </w:hyperlink>
          <w:r w:rsidDel="00000000" w:rsidR="00000000" w:rsidRPr="00000000">
            <w:fldChar w:fldCharType="begin"/>
            <w:instrText xml:space="preserve"> PAGEREF _847ve075bjnb \h </w:instrText>
            <w:fldChar w:fldCharType="separate"/>
          </w:r>
          <w:r w:rsidDel="00000000" w:rsidR="00000000" w:rsidRPr="00000000">
            <w:rPr>
              <w:b w:val="1"/>
              <w:rtl w:val="0"/>
            </w:rPr>
            <w:t xml:space="preserve">4</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0">
      <w:pPr>
        <w:spacing w:after="240" w:before="240" w:lineRule="auto"/>
        <w:jc w:val="both"/>
        <w:rPr>
          <w:rFonts w:ascii="Titillium Web" w:cs="Titillium Web" w:eastAsia="Titillium Web" w:hAnsi="Titillium Web"/>
        </w:rPr>
      </w:pPr>
      <w:r w:rsidDel="00000000" w:rsidR="00000000" w:rsidRPr="00000000">
        <w:rPr>
          <w:rtl w:val="0"/>
        </w:rPr>
      </w:r>
    </w:p>
    <w:p w:rsidR="00000000" w:rsidDel="00000000" w:rsidP="00000000" w:rsidRDefault="00000000" w:rsidRPr="00000000" w14:paraId="00000011">
      <w:pPr>
        <w:spacing w:after="240" w:before="240" w:lineRule="auto"/>
        <w:jc w:val="both"/>
        <w:rPr>
          <w:rFonts w:ascii="Titillium Web" w:cs="Titillium Web" w:eastAsia="Titillium Web" w:hAnsi="Titillium Web"/>
        </w:rPr>
      </w:pPr>
      <w:r w:rsidDel="00000000" w:rsidR="00000000" w:rsidRPr="00000000">
        <w:rPr>
          <w:rtl w:val="0"/>
        </w:rPr>
      </w:r>
    </w:p>
    <w:p w:rsidR="00000000" w:rsidDel="00000000" w:rsidP="00000000" w:rsidRDefault="00000000" w:rsidRPr="00000000" w14:paraId="00000012">
      <w:pPr>
        <w:pStyle w:val="Heading1"/>
        <w:spacing w:after="240" w:before="240" w:lineRule="auto"/>
        <w:jc w:val="both"/>
        <w:rPr/>
      </w:pPr>
      <w:bookmarkStart w:colFirst="0" w:colLast="0" w:name="_6gzx6tcanl9p" w:id="0"/>
      <w:bookmarkEnd w:id="0"/>
      <w:r w:rsidDel="00000000" w:rsidR="00000000" w:rsidRPr="00000000">
        <w:rPr>
          <w:rtl w:val="0"/>
        </w:rPr>
        <w:t xml:space="preserve">À quoi sert un foyer ?</w:t>
      </w:r>
    </w:p>
    <w:p w:rsidR="00000000" w:rsidDel="00000000" w:rsidP="00000000" w:rsidRDefault="00000000" w:rsidRPr="00000000" w14:paraId="00000013">
      <w:pPr>
        <w:spacing w:after="240" w:before="240" w:lineRule="auto"/>
        <w:jc w:val="both"/>
        <w:rPr>
          <w:rFonts w:ascii="Titillium Web" w:cs="Titillium Web" w:eastAsia="Titillium Web" w:hAnsi="Titillium Web"/>
        </w:rPr>
      </w:pPr>
      <w:r w:rsidDel="00000000" w:rsidR="00000000" w:rsidRPr="00000000">
        <w:rPr>
          <w:rFonts w:ascii="Titillium Web" w:cs="Titillium Web" w:eastAsia="Titillium Web" w:hAnsi="Titillium Web"/>
          <w:rtl w:val="0"/>
        </w:rPr>
        <w:t xml:space="preserve">Se protéger contre des attaques, des maladies</w:t>
        <w:br w:type="textWrapping"/>
        <w:t xml:space="preserve">Préparer à manger</w:t>
        <w:br w:type="textWrapping"/>
        <w:t xml:space="preserve">Gain de confort (thermique, esthétique, divertissement)</w:t>
        <w:br w:type="textWrapping"/>
        <w:t xml:space="preserve">Nous avons donc une</w:t>
      </w:r>
      <w:r w:rsidDel="00000000" w:rsidR="00000000" w:rsidRPr="00000000">
        <w:rPr>
          <w:rFonts w:ascii="Titillium Web" w:cs="Titillium Web" w:eastAsia="Titillium Web" w:hAnsi="Titillium Web"/>
          <w:u w:val="single"/>
          <w:rtl w:val="0"/>
        </w:rPr>
        <w:t xml:space="preserve"> forte dépendance</w:t>
      </w:r>
      <w:r w:rsidDel="00000000" w:rsidR="00000000" w:rsidRPr="00000000">
        <w:rPr>
          <w:rFonts w:ascii="Titillium Web" w:cs="Titillium Web" w:eastAsia="Titillium Web" w:hAnsi="Titillium Web"/>
          <w:rtl w:val="0"/>
        </w:rPr>
        <w:t xml:space="preserve"> à l'énergie fossile, éolienne, solaire, nucléaire.</w:t>
        <w:br w:type="textWrapping"/>
        <w:br w:type="textWrapping"/>
        <w:t xml:space="preserve">Le bâtiment en 2012 : </w:t>
      </w:r>
    </w:p>
    <w:p w:rsidR="00000000" w:rsidDel="00000000" w:rsidP="00000000" w:rsidRDefault="00000000" w:rsidRPr="00000000" w14:paraId="00000014">
      <w:pPr>
        <w:numPr>
          <w:ilvl w:val="0"/>
          <w:numId w:val="1"/>
        </w:numPr>
        <w:spacing w:after="0" w:afterAutospacing="0" w:before="240" w:lineRule="auto"/>
        <w:ind w:left="720" w:hanging="360"/>
        <w:jc w:val="both"/>
        <w:rPr>
          <w:rFonts w:ascii="Titillium Web" w:cs="Titillium Web" w:eastAsia="Titillium Web" w:hAnsi="Titillium Web"/>
        </w:rPr>
      </w:pPr>
      <w:r w:rsidDel="00000000" w:rsidR="00000000" w:rsidRPr="00000000">
        <w:rPr>
          <w:rFonts w:ascii="Caudex" w:cs="Caudex" w:eastAsia="Caudex" w:hAnsi="Caudex"/>
          <w:rtl w:val="0"/>
        </w:rPr>
        <w:t xml:space="preserve">⅔ résidentiel, ⅓ tertiaire</w:t>
      </w:r>
    </w:p>
    <w:p w:rsidR="00000000" w:rsidDel="00000000" w:rsidP="00000000" w:rsidRDefault="00000000" w:rsidRPr="00000000" w14:paraId="00000015">
      <w:pPr>
        <w:numPr>
          <w:ilvl w:val="0"/>
          <w:numId w:val="1"/>
        </w:numPr>
        <w:spacing w:after="0" w:afterAutospacing="0" w:before="0" w:beforeAutospacing="0" w:lineRule="auto"/>
        <w:ind w:left="720" w:hanging="360"/>
        <w:jc w:val="both"/>
        <w:rPr>
          <w:rFonts w:ascii="Titillium Web" w:cs="Titillium Web" w:eastAsia="Titillium Web" w:hAnsi="Titillium Web"/>
        </w:rPr>
      </w:pPr>
      <w:r w:rsidDel="00000000" w:rsidR="00000000" w:rsidRPr="00000000">
        <w:rPr>
          <w:rFonts w:ascii="Titillium Web" w:cs="Titillium Web" w:eastAsia="Titillium Web" w:hAnsi="Titillium Web"/>
          <w:rtl w:val="0"/>
        </w:rPr>
        <w:t xml:space="preserve">44% de la consommation finale d'énergie</w:t>
      </w:r>
    </w:p>
    <w:p w:rsidR="00000000" w:rsidDel="00000000" w:rsidP="00000000" w:rsidRDefault="00000000" w:rsidRPr="00000000" w14:paraId="00000016">
      <w:pPr>
        <w:numPr>
          <w:ilvl w:val="0"/>
          <w:numId w:val="1"/>
        </w:numPr>
        <w:spacing w:after="240" w:before="0" w:beforeAutospacing="0" w:lineRule="auto"/>
        <w:ind w:left="720" w:hanging="360"/>
        <w:jc w:val="both"/>
        <w:rPr>
          <w:rFonts w:ascii="Titillium Web" w:cs="Titillium Web" w:eastAsia="Titillium Web" w:hAnsi="Titillium Web"/>
        </w:rPr>
      </w:pPr>
      <w:r w:rsidDel="00000000" w:rsidR="00000000" w:rsidRPr="00000000">
        <w:rPr>
          <w:rFonts w:ascii="Titillium Web" w:cs="Titillium Web" w:eastAsia="Titillium Web" w:hAnsi="Titillium Web"/>
          <w:rtl w:val="0"/>
        </w:rPr>
        <w:t xml:space="preserve">18% des GES</w:t>
      </w:r>
    </w:p>
    <w:p w:rsidR="00000000" w:rsidDel="00000000" w:rsidP="00000000" w:rsidRDefault="00000000" w:rsidRPr="00000000" w14:paraId="00000017">
      <w:pPr>
        <w:spacing w:after="240" w:before="240" w:lineRule="auto"/>
        <w:jc w:val="both"/>
        <w:rPr>
          <w:rFonts w:ascii="Titillium Web" w:cs="Titillium Web" w:eastAsia="Titillium Web" w:hAnsi="Titillium Web"/>
        </w:rPr>
      </w:pPr>
      <w:r w:rsidDel="00000000" w:rsidR="00000000" w:rsidRPr="00000000">
        <w:rPr>
          <w:rFonts w:ascii="Nova Mono" w:cs="Nova Mono" w:eastAsia="Nova Mono" w:hAnsi="Nova Mono"/>
          <w:rtl w:val="0"/>
        </w:rPr>
        <w:t xml:space="preserve">Grenelle de l’environnement en 2003 → diviser par 4 les GES d’ici 2050 depuis 1990.</w:t>
        <w:br w:type="textWrapping"/>
        <w:br w:type="textWrapping"/>
      </w:r>
      <w:r w:rsidDel="00000000" w:rsidR="00000000" w:rsidRPr="00000000">
        <w:br w:type="page"/>
      </w:r>
      <w:r w:rsidDel="00000000" w:rsidR="00000000" w:rsidRPr="00000000">
        <w:rPr>
          <w:rtl w:val="0"/>
        </w:rPr>
      </w:r>
    </w:p>
    <w:p w:rsidR="00000000" w:rsidDel="00000000" w:rsidP="00000000" w:rsidRDefault="00000000" w:rsidRPr="00000000" w14:paraId="00000018">
      <w:pPr>
        <w:pStyle w:val="Heading1"/>
        <w:spacing w:after="240" w:before="240" w:lineRule="auto"/>
        <w:jc w:val="both"/>
        <w:rPr/>
      </w:pPr>
      <w:bookmarkStart w:colFirst="0" w:colLast="0" w:name="_tix314kur0un" w:id="1"/>
      <w:bookmarkEnd w:id="1"/>
      <w:r w:rsidDel="00000000" w:rsidR="00000000" w:rsidRPr="00000000">
        <w:rPr>
          <w:rtl w:val="0"/>
        </w:rPr>
        <w:t xml:space="preserve">Confort thermique : quelques notions</w:t>
      </w:r>
    </w:p>
    <w:p w:rsidR="00000000" w:rsidDel="00000000" w:rsidP="00000000" w:rsidRDefault="00000000" w:rsidRPr="00000000" w14:paraId="00000019">
      <w:pPr>
        <w:spacing w:after="240" w:before="240" w:lineRule="auto"/>
        <w:jc w:val="both"/>
        <w:rPr>
          <w:rFonts w:ascii="Titillium Web" w:cs="Titillium Web" w:eastAsia="Titillium Web" w:hAnsi="Titillium Web"/>
        </w:rPr>
      </w:pPr>
      <w:r w:rsidDel="00000000" w:rsidR="00000000" w:rsidRPr="00000000">
        <w:rPr>
          <w:rFonts w:ascii="Titillium Web" w:cs="Titillium Web" w:eastAsia="Titillium Web" w:hAnsi="Titillium Web"/>
          <w:rtl w:val="0"/>
        </w:rPr>
        <w:t xml:space="preserve">Équilibre thermique entre corps humain/pertes de l’habitat</w:t>
        <w:br w:type="textWrapping"/>
        <w:t xml:space="preserve">Paramètres : température opérative, humidité relative; vitesse de l’air, conductivité, diffusivité, inertie, effusivité.</w:t>
      </w:r>
    </w:p>
    <w:p w:rsidR="00000000" w:rsidDel="00000000" w:rsidP="00000000" w:rsidRDefault="00000000" w:rsidRPr="00000000" w14:paraId="0000001A">
      <w:pPr>
        <w:numPr>
          <w:ilvl w:val="0"/>
          <w:numId w:val="2"/>
        </w:numPr>
        <w:spacing w:after="0" w:afterAutospacing="0" w:before="240" w:lineRule="auto"/>
        <w:ind w:left="720" w:hanging="360"/>
        <w:jc w:val="both"/>
        <w:rPr>
          <w:u w:val="none"/>
        </w:rPr>
      </w:pPr>
      <w:r w:rsidDel="00000000" w:rsidR="00000000" w:rsidRPr="00000000">
        <w:rPr>
          <w:rFonts w:ascii="Titillium Web" w:cs="Titillium Web" w:eastAsia="Titillium Web" w:hAnsi="Titillium Web"/>
          <w:b w:val="1"/>
          <w:rtl w:val="0"/>
        </w:rPr>
        <w:t xml:space="preserve">Température opérative</w:t>
      </w:r>
      <w:r w:rsidDel="00000000" w:rsidR="00000000" w:rsidRPr="00000000">
        <w:rPr>
          <w:rFonts w:ascii="Titillium Web" w:cs="Titillium Web" w:eastAsia="Titillium Web" w:hAnsi="Titillium Web"/>
          <w:rtl w:val="0"/>
        </w:rPr>
        <w:t xml:space="preserve"> : c’est la température ressentie :  </w:t>
      </w:r>
      <w:r w:rsidDel="00000000" w:rsidR="00000000" w:rsidRPr="00000000">
        <w:rPr>
          <w:rFonts w:ascii="Titillium Web" w:cs="Titillium Web" w:eastAsia="Titillium Web" w:hAnsi="Titillium Web"/>
        </w:rPr>
        <w:drawing>
          <wp:inline distB="19050" distT="19050" distL="19050" distR="19050">
            <wp:extent cx="1333500" cy="330200"/>
            <wp:effectExtent b="0" l="0" r="0" t="0"/>
            <wp:docPr id="7" name="image4.png"/>
            <a:graphic>
              <a:graphicData uri="http://schemas.openxmlformats.org/drawingml/2006/picture">
                <pic:pic>
                  <pic:nvPicPr>
                    <pic:cNvPr id="0" name="image4.png"/>
                    <pic:cNvPicPr preferRelativeResize="0"/>
                  </pic:nvPicPr>
                  <pic:blipFill>
                    <a:blip r:embed="rId6"/>
                    <a:srcRect b="0" l="0" r="0" t="0"/>
                    <a:stretch>
                      <a:fillRect/>
                    </a:stretch>
                  </pic:blipFill>
                  <pic:spPr>
                    <a:xfrm>
                      <a:off x="0" y="0"/>
                      <a:ext cx="1333500" cy="330200"/>
                    </a:xfrm>
                    <a:prstGeom prst="rect"/>
                    <a:ln/>
                  </pic:spPr>
                </pic:pic>
              </a:graphicData>
            </a:graphic>
          </wp:inline>
        </w:drawing>
      </w:r>
      <w:r w:rsidDel="00000000" w:rsidR="00000000" w:rsidRPr="00000000">
        <w:rPr>
          <w:rtl w:val="0"/>
        </w:rPr>
      </w:r>
    </w:p>
    <w:p w:rsidR="00000000" w:rsidDel="00000000" w:rsidP="00000000" w:rsidRDefault="00000000" w:rsidRPr="00000000" w14:paraId="0000001B">
      <w:pPr>
        <w:numPr>
          <w:ilvl w:val="0"/>
          <w:numId w:val="2"/>
        </w:numPr>
        <w:spacing w:after="0" w:afterAutospacing="0" w:before="0" w:beforeAutospacing="0" w:lineRule="auto"/>
        <w:ind w:left="720" w:hanging="360"/>
        <w:jc w:val="both"/>
        <w:rPr>
          <w:u w:val="none"/>
        </w:rPr>
      </w:pPr>
      <w:r w:rsidDel="00000000" w:rsidR="00000000" w:rsidRPr="00000000">
        <w:rPr>
          <w:rFonts w:ascii="Titillium Web" w:cs="Titillium Web" w:eastAsia="Titillium Web" w:hAnsi="Titillium Web"/>
          <w:b w:val="1"/>
          <w:rtl w:val="0"/>
        </w:rPr>
        <w:t xml:space="preserve">Vitesse d’air</w:t>
      </w:r>
      <w:r w:rsidDel="00000000" w:rsidR="00000000" w:rsidRPr="00000000">
        <w:rPr>
          <w:rFonts w:ascii="Titillium Web" w:cs="Titillium Web" w:eastAsia="Titillium Web" w:hAnsi="Titillium Web"/>
          <w:rtl w:val="0"/>
        </w:rPr>
        <w:t xml:space="preserve"> : favorise échange de chaleur (convection) et évaporation de la sueur (chaleur de vaporisation) ; air stagnant = désagréable. Situation idéale = entre 0,1 et 0,3 m/s (environnement contrôlé)</w:t>
      </w:r>
    </w:p>
    <w:p w:rsidR="00000000" w:rsidDel="00000000" w:rsidP="00000000" w:rsidRDefault="00000000" w:rsidRPr="00000000" w14:paraId="0000001C">
      <w:pPr>
        <w:numPr>
          <w:ilvl w:val="0"/>
          <w:numId w:val="2"/>
        </w:numPr>
        <w:spacing w:after="0" w:afterAutospacing="0" w:before="0" w:beforeAutospacing="0" w:lineRule="auto"/>
        <w:ind w:left="720" w:hanging="360"/>
        <w:jc w:val="both"/>
        <w:rPr>
          <w:u w:val="none"/>
        </w:rPr>
      </w:pPr>
      <w:r w:rsidDel="00000000" w:rsidR="00000000" w:rsidRPr="00000000">
        <w:rPr>
          <w:rFonts w:ascii="Titillium Web" w:cs="Titillium Web" w:eastAsia="Titillium Web" w:hAnsi="Titillium Web"/>
          <w:b w:val="1"/>
          <w:rtl w:val="0"/>
        </w:rPr>
        <w:t xml:space="preserve">Humidité</w:t>
      </w:r>
      <w:r w:rsidDel="00000000" w:rsidR="00000000" w:rsidRPr="00000000">
        <w:rPr>
          <w:rFonts w:ascii="Nova Mono" w:cs="Nova Mono" w:eastAsia="Nova Mono" w:hAnsi="Nova Mono"/>
          <w:rtl w:val="0"/>
        </w:rPr>
        <w:t xml:space="preserve"> : &gt;70% → difficulté transpirer et tolérer les T° élevées</w:t>
        <w:br w:type="textWrapping"/>
        <w:t xml:space="preserve">30%&lt;x&lt;70% = idéal car limite développement bactérie, virus, champignons ; et autres gènes respiratoires</w:t>
      </w:r>
    </w:p>
    <w:p w:rsidR="00000000" w:rsidDel="00000000" w:rsidP="00000000" w:rsidRDefault="00000000" w:rsidRPr="00000000" w14:paraId="0000001D">
      <w:pPr>
        <w:numPr>
          <w:ilvl w:val="0"/>
          <w:numId w:val="2"/>
        </w:numPr>
        <w:spacing w:after="0" w:afterAutospacing="0" w:before="0" w:beforeAutospacing="0" w:lineRule="auto"/>
        <w:ind w:left="720" w:hanging="360"/>
        <w:jc w:val="both"/>
        <w:rPr>
          <w:u w:val="none"/>
        </w:rPr>
      </w:pPr>
      <w:r w:rsidDel="00000000" w:rsidR="00000000" w:rsidRPr="00000000">
        <w:rPr>
          <w:rFonts w:ascii="Titillium Web" w:cs="Titillium Web" w:eastAsia="Titillium Web" w:hAnsi="Titillium Web"/>
          <w:b w:val="1"/>
          <w:rtl w:val="0"/>
        </w:rPr>
        <w:t xml:space="preserve">Conductivité</w:t>
      </w:r>
      <w:r w:rsidDel="00000000" w:rsidR="00000000" w:rsidRPr="00000000">
        <w:rPr>
          <w:rFonts w:ascii="Titillium Web" w:cs="Titillium Web" w:eastAsia="Titillium Web" w:hAnsi="Titillium Web"/>
          <w:rtl w:val="0"/>
        </w:rPr>
        <w:t xml:space="preserve"> :  capacité à diffuser de la chaleur dans les milieux sans déplacement de matière. </w:t>
      </w:r>
      <w:hyperlink r:id="rId7">
        <w:r w:rsidDel="00000000" w:rsidR="00000000" w:rsidRPr="00000000">
          <w:rPr>
            <w:rFonts w:ascii="Titillium Web" w:cs="Titillium Web" w:eastAsia="Titillium Web" w:hAnsi="Titillium Web"/>
          </w:rPr>
          <w:drawing>
            <wp:inline distB="19050" distT="19050" distL="19050" distR="19050">
              <wp:extent cx="76200" cy="114300"/>
              <wp:effectExtent b="0" l="0" r="0" t="0"/>
              <wp:docPr id="6" name="image6.png"/>
              <a:graphic>
                <a:graphicData uri="http://schemas.openxmlformats.org/drawingml/2006/picture">
                  <pic:pic>
                    <pic:nvPicPr>
                      <pic:cNvPr id="0" name="image6.png"/>
                      <pic:cNvPicPr preferRelativeResize="0"/>
                    </pic:nvPicPr>
                    <pic:blipFill>
                      <a:blip r:embed="rId8"/>
                      <a:srcRect b="0" l="0" r="0" t="0"/>
                      <a:stretch>
                        <a:fillRect/>
                      </a:stretch>
                    </pic:blipFill>
                    <pic:spPr>
                      <a:xfrm>
                        <a:off x="0" y="0"/>
                        <a:ext cx="76200" cy="114300"/>
                      </a:xfrm>
                      <a:prstGeom prst="rect"/>
                      <a:ln/>
                    </pic:spPr>
                  </pic:pic>
                </a:graphicData>
              </a:graphic>
            </wp:inline>
          </w:drawing>
        </w:r>
      </w:hyperlink>
      <w:r w:rsidDel="00000000" w:rsidR="00000000" w:rsidRPr="00000000">
        <w:rPr>
          <w:rFonts w:ascii="Titillium Web" w:cs="Titillium Web" w:eastAsia="Titillium Web" w:hAnsi="Titillium Web"/>
          <w:rtl w:val="0"/>
        </w:rPr>
        <w:t xml:space="preserve"> (W/m²/K)</w:t>
      </w:r>
    </w:p>
    <w:p w:rsidR="00000000" w:rsidDel="00000000" w:rsidP="00000000" w:rsidRDefault="00000000" w:rsidRPr="00000000" w14:paraId="0000001E">
      <w:pPr>
        <w:numPr>
          <w:ilvl w:val="0"/>
          <w:numId w:val="2"/>
        </w:numPr>
        <w:spacing w:after="0" w:afterAutospacing="0" w:before="0" w:beforeAutospacing="0" w:lineRule="auto"/>
        <w:ind w:left="720" w:hanging="360"/>
        <w:jc w:val="both"/>
        <w:rPr>
          <w:u w:val="none"/>
        </w:rPr>
      </w:pPr>
      <w:r w:rsidDel="00000000" w:rsidR="00000000" w:rsidRPr="00000000">
        <w:rPr>
          <w:rFonts w:ascii="Titillium Web" w:cs="Titillium Web" w:eastAsia="Titillium Web" w:hAnsi="Titillium Web"/>
          <w:b w:val="1"/>
          <w:rtl w:val="0"/>
        </w:rPr>
        <w:t xml:space="preserve">Diffusivité</w:t>
      </w:r>
      <w:r w:rsidDel="00000000" w:rsidR="00000000" w:rsidRPr="00000000">
        <w:rPr>
          <w:rFonts w:ascii="Titillium Web" w:cs="Titillium Web" w:eastAsia="Titillium Web" w:hAnsi="Titillium Web"/>
          <w:rtl w:val="0"/>
        </w:rPr>
        <w:t xml:space="preserve"> : détermine la vitesse à laquelle le matériau est susceptible de transmettre la chaleur (d’une face à l’autre de la paroi). </w:t>
      </w:r>
      <w:hyperlink r:id="rId9">
        <w:r w:rsidDel="00000000" w:rsidR="00000000" w:rsidRPr="00000000">
          <w:rPr>
            <w:rFonts w:ascii="Titillium Web" w:cs="Titillium Web" w:eastAsia="Titillium Web" w:hAnsi="Titillium Web"/>
          </w:rPr>
          <w:drawing>
            <wp:inline distB="19050" distT="19050" distL="19050" distR="19050">
              <wp:extent cx="444500" cy="342900"/>
              <wp:effectExtent b="0" l="0" r="0" t="0"/>
              <wp:docPr id="2" name="image1.png"/>
              <a:graphic>
                <a:graphicData uri="http://schemas.openxmlformats.org/drawingml/2006/picture">
                  <pic:pic>
                    <pic:nvPicPr>
                      <pic:cNvPr id="0" name="image1.png"/>
                      <pic:cNvPicPr preferRelativeResize="0"/>
                    </pic:nvPicPr>
                    <pic:blipFill>
                      <a:blip r:embed="rId10"/>
                      <a:srcRect b="0" l="0" r="0" t="0"/>
                      <a:stretch>
                        <a:fillRect/>
                      </a:stretch>
                    </pic:blipFill>
                    <pic:spPr>
                      <a:xfrm>
                        <a:off x="0" y="0"/>
                        <a:ext cx="444500" cy="342900"/>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001F">
      <w:pPr>
        <w:numPr>
          <w:ilvl w:val="0"/>
          <w:numId w:val="2"/>
        </w:numPr>
        <w:spacing w:after="0" w:afterAutospacing="0" w:before="0" w:beforeAutospacing="0" w:lineRule="auto"/>
        <w:ind w:left="720" w:hanging="360"/>
        <w:jc w:val="both"/>
        <w:rPr>
          <w:u w:val="none"/>
        </w:rPr>
      </w:pPr>
      <w:r w:rsidDel="00000000" w:rsidR="00000000" w:rsidRPr="00000000">
        <w:rPr>
          <w:rFonts w:ascii="Titillium Web" w:cs="Titillium Web" w:eastAsia="Titillium Web" w:hAnsi="Titillium Web"/>
          <w:b w:val="1"/>
          <w:rtl w:val="0"/>
        </w:rPr>
        <w:t xml:space="preserve">Effusivité</w:t>
      </w:r>
      <w:r w:rsidDel="00000000" w:rsidR="00000000" w:rsidRPr="00000000">
        <w:rPr>
          <w:rFonts w:ascii="Titillium Web" w:cs="Titillium Web" w:eastAsia="Titillium Web" w:hAnsi="Titillium Web"/>
          <w:rtl w:val="0"/>
        </w:rPr>
        <w:t xml:space="preserve"> : capacité du matériau à réagir, échanger de l'énergie thermique avec son environnement. Rapidité avec laquelle un matériau absorbe la chaleur. Effusivité faible = matériau se réchauffe vite : </w:t>
      </w:r>
      <w:hyperlink r:id="rId11">
        <w:r w:rsidDel="00000000" w:rsidR="00000000" w:rsidRPr="00000000">
          <w:rPr>
            <w:rFonts w:ascii="Titillium Web" w:cs="Titillium Web" w:eastAsia="Titillium Web" w:hAnsi="Titillium Web"/>
          </w:rPr>
          <w:drawing>
            <wp:inline distB="19050" distT="19050" distL="19050" distR="19050">
              <wp:extent cx="711200" cy="190500"/>
              <wp:effectExtent b="0" l="0" r="0" t="0"/>
              <wp:docPr id="3" name="image2.png"/>
              <a:graphic>
                <a:graphicData uri="http://schemas.openxmlformats.org/drawingml/2006/picture">
                  <pic:pic>
                    <pic:nvPicPr>
                      <pic:cNvPr id="0" name="image2.png"/>
                      <pic:cNvPicPr preferRelativeResize="0"/>
                    </pic:nvPicPr>
                    <pic:blipFill>
                      <a:blip r:embed="rId12"/>
                      <a:srcRect b="0" l="0" r="0" t="0"/>
                      <a:stretch>
                        <a:fillRect/>
                      </a:stretch>
                    </pic:blipFill>
                    <pic:spPr>
                      <a:xfrm>
                        <a:off x="0" y="0"/>
                        <a:ext cx="711200" cy="190500"/>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0020">
      <w:pPr>
        <w:numPr>
          <w:ilvl w:val="0"/>
          <w:numId w:val="2"/>
        </w:numPr>
        <w:spacing w:after="0" w:afterAutospacing="0" w:before="0" w:beforeAutospacing="0" w:lineRule="auto"/>
        <w:ind w:left="720" w:hanging="360"/>
        <w:jc w:val="both"/>
        <w:rPr>
          <w:u w:val="none"/>
        </w:rPr>
      </w:pPr>
      <w:r w:rsidDel="00000000" w:rsidR="00000000" w:rsidRPr="00000000">
        <w:rPr>
          <w:rFonts w:ascii="Titillium Web" w:cs="Titillium Web" w:eastAsia="Titillium Web" w:hAnsi="Titillium Web"/>
          <w:b w:val="1"/>
          <w:rtl w:val="0"/>
        </w:rPr>
        <w:t xml:space="preserve">Inertie</w:t>
      </w:r>
      <w:r w:rsidDel="00000000" w:rsidR="00000000" w:rsidRPr="00000000">
        <w:rPr>
          <w:rFonts w:ascii="Titillium Web" w:cs="Titillium Web" w:eastAsia="Titillium Web" w:hAnsi="Titillium Web"/>
          <w:rtl w:val="0"/>
        </w:rPr>
        <w:t xml:space="preserve"> : Capacité d’un bâtiment  à stocker et déstocker de l'énergie dans sa structure, quelle que soit la saison :  </w:t>
      </w:r>
      <w:hyperlink r:id="rId13">
        <w:r w:rsidDel="00000000" w:rsidR="00000000" w:rsidRPr="00000000">
          <w:rPr>
            <w:rFonts w:ascii="Titillium Web" w:cs="Titillium Web" w:eastAsia="Titillium Web" w:hAnsi="Titillium Web"/>
          </w:rPr>
          <w:drawing>
            <wp:inline distB="19050" distT="19050" distL="19050" distR="19050">
              <wp:extent cx="647700" cy="381000"/>
              <wp:effectExtent b="0" l="0" r="0" t="0"/>
              <wp:docPr id="1" name="image5.png"/>
              <a:graphic>
                <a:graphicData uri="http://schemas.openxmlformats.org/drawingml/2006/picture">
                  <pic:pic>
                    <pic:nvPicPr>
                      <pic:cNvPr id="0" name="image5.png"/>
                      <pic:cNvPicPr preferRelativeResize="0"/>
                    </pic:nvPicPr>
                    <pic:blipFill>
                      <a:blip r:embed="rId14"/>
                      <a:srcRect b="0" l="0" r="0" t="0"/>
                      <a:stretch>
                        <a:fillRect/>
                      </a:stretch>
                    </pic:blipFill>
                    <pic:spPr>
                      <a:xfrm>
                        <a:off x="0" y="0"/>
                        <a:ext cx="647700" cy="381000"/>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0021">
      <w:pPr>
        <w:numPr>
          <w:ilvl w:val="0"/>
          <w:numId w:val="2"/>
        </w:numPr>
        <w:spacing w:after="0" w:afterAutospacing="0" w:before="0" w:beforeAutospacing="0" w:lineRule="auto"/>
        <w:ind w:left="720" w:hanging="360"/>
        <w:jc w:val="both"/>
        <w:rPr>
          <w:u w:val="none"/>
        </w:rPr>
      </w:pPr>
      <w:r w:rsidDel="00000000" w:rsidR="00000000" w:rsidRPr="00000000">
        <w:rPr>
          <w:rFonts w:ascii="Titillium Web" w:cs="Titillium Web" w:eastAsia="Titillium Web" w:hAnsi="Titillium Web"/>
          <w:b w:val="1"/>
          <w:rtl w:val="0"/>
        </w:rPr>
        <w:t xml:space="preserve">Métabolisme énergétique (Met)</w:t>
      </w:r>
      <w:r w:rsidDel="00000000" w:rsidR="00000000" w:rsidRPr="00000000">
        <w:rPr>
          <w:rFonts w:ascii="Titillium Web" w:cs="Titillium Web" w:eastAsia="Titillium Web" w:hAnsi="Titillium Web"/>
          <w:rtl w:val="0"/>
        </w:rPr>
        <w:t xml:space="preserve"> 1 met = niveau d’activité d’une personne au repos, assise = 58W/m² ; liée à l’activité cellulaire du métabolisme et ses transformations gazeuses (émissions, stockage de la chaleur produite,... = thermorégulation)</w:t>
      </w:r>
    </w:p>
    <w:p w:rsidR="00000000" w:rsidDel="00000000" w:rsidP="00000000" w:rsidRDefault="00000000" w:rsidRPr="00000000" w14:paraId="00000022">
      <w:pPr>
        <w:numPr>
          <w:ilvl w:val="0"/>
          <w:numId w:val="2"/>
        </w:numPr>
        <w:spacing w:after="240" w:before="0" w:beforeAutospacing="0" w:lineRule="auto"/>
        <w:ind w:left="720" w:hanging="360"/>
        <w:jc w:val="both"/>
        <w:rPr>
          <w:u w:val="none"/>
        </w:rPr>
      </w:pPr>
      <w:r w:rsidDel="00000000" w:rsidR="00000000" w:rsidRPr="00000000">
        <w:rPr>
          <w:rFonts w:ascii="Titillium Web" w:cs="Titillium Web" w:eastAsia="Titillium Web" w:hAnsi="Titillium Web"/>
          <w:b w:val="1"/>
          <w:rtl w:val="0"/>
        </w:rPr>
        <w:t xml:space="preserve">Clo</w:t>
      </w:r>
      <w:r w:rsidDel="00000000" w:rsidR="00000000" w:rsidRPr="00000000">
        <w:rPr>
          <w:rFonts w:ascii="Titillium Web" w:cs="Titillium Web" w:eastAsia="Titillium Web" w:hAnsi="Titillium Web"/>
          <w:rtl w:val="0"/>
        </w:rPr>
        <w:t xml:space="preserve"> = valeur de l’isolation vestimentaire et du facteur caractérisant l’habillement pour différentes tenues. Effet tampon comme l’inertie. (1 clo est l’isolation vestimentaire pour être à l’équilibre à 21°C, 1m/s et 50% d’humidité relative)</w:t>
      </w:r>
    </w:p>
    <w:p w:rsidR="00000000" w:rsidDel="00000000" w:rsidP="00000000" w:rsidRDefault="00000000" w:rsidRPr="00000000" w14:paraId="00000023">
      <w:pPr>
        <w:spacing w:after="240" w:before="240" w:lineRule="auto"/>
        <w:ind w:left="0" w:firstLine="0"/>
        <w:jc w:val="both"/>
        <w:rPr>
          <w:rFonts w:ascii="Titillium Web" w:cs="Titillium Web" w:eastAsia="Titillium Web" w:hAnsi="Titillium Web"/>
          <w:b w:val="1"/>
        </w:rPr>
      </w:pPr>
      <w:r w:rsidDel="00000000" w:rsidR="00000000" w:rsidRPr="00000000">
        <w:rPr>
          <w:rtl w:val="0"/>
        </w:rPr>
      </w:r>
    </w:p>
    <w:p w:rsidR="00000000" w:rsidDel="00000000" w:rsidP="00000000" w:rsidRDefault="00000000" w:rsidRPr="00000000" w14:paraId="00000024">
      <w:pPr>
        <w:spacing w:after="240" w:before="240" w:lineRule="auto"/>
        <w:ind w:left="0" w:firstLine="0"/>
        <w:jc w:val="both"/>
        <w:rPr>
          <w:rFonts w:ascii="Titillium Web" w:cs="Titillium Web" w:eastAsia="Titillium Web" w:hAnsi="Titillium Web"/>
          <w:b w:val="1"/>
        </w:rPr>
      </w:pPr>
      <w:r w:rsidDel="00000000" w:rsidR="00000000" w:rsidRPr="00000000">
        <w:rPr>
          <w:rtl w:val="0"/>
        </w:rPr>
      </w:r>
    </w:p>
    <w:p w:rsidR="00000000" w:rsidDel="00000000" w:rsidP="00000000" w:rsidRDefault="00000000" w:rsidRPr="00000000" w14:paraId="00000025">
      <w:pPr>
        <w:spacing w:after="240" w:before="240" w:lineRule="auto"/>
        <w:ind w:left="0" w:firstLine="0"/>
        <w:jc w:val="both"/>
        <w:rPr>
          <w:rFonts w:ascii="Titillium Web" w:cs="Titillium Web" w:eastAsia="Titillium Web" w:hAnsi="Titillium Web"/>
          <w:b w:val="1"/>
        </w:rPr>
      </w:pPr>
      <w:r w:rsidDel="00000000" w:rsidR="00000000" w:rsidRPr="00000000">
        <w:rPr>
          <w:rtl w:val="0"/>
        </w:rPr>
      </w:r>
    </w:p>
    <w:p w:rsidR="00000000" w:rsidDel="00000000" w:rsidP="00000000" w:rsidRDefault="00000000" w:rsidRPr="00000000" w14:paraId="00000026">
      <w:pPr>
        <w:spacing w:after="240" w:before="240" w:lineRule="auto"/>
        <w:ind w:left="0" w:firstLine="0"/>
        <w:jc w:val="both"/>
        <w:rPr>
          <w:rFonts w:ascii="Titillium Web" w:cs="Titillium Web" w:eastAsia="Titillium Web" w:hAnsi="Titillium Web"/>
          <w:b w:val="1"/>
        </w:rPr>
      </w:pPr>
      <w:r w:rsidDel="00000000" w:rsidR="00000000" w:rsidRPr="00000000">
        <w:rPr>
          <w:rFonts w:ascii="Titillium Web" w:cs="Titillium Web" w:eastAsia="Titillium Web" w:hAnsi="Titillium Web"/>
          <w:b w:val="1"/>
          <w:rtl w:val="0"/>
        </w:rPr>
        <w:t xml:space="preserve">Plusieurs outils : </w:t>
      </w:r>
    </w:p>
    <w:p w:rsidR="00000000" w:rsidDel="00000000" w:rsidP="00000000" w:rsidRDefault="00000000" w:rsidRPr="00000000" w14:paraId="00000027">
      <w:pPr>
        <w:spacing w:after="240" w:before="240" w:lineRule="auto"/>
        <w:jc w:val="both"/>
        <w:rPr>
          <w:rFonts w:ascii="Titillium Web" w:cs="Titillium Web" w:eastAsia="Titillium Web" w:hAnsi="Titillium Web"/>
        </w:rPr>
      </w:pPr>
      <w:r w:rsidDel="00000000" w:rsidR="00000000" w:rsidRPr="00000000">
        <w:rPr>
          <w:rFonts w:ascii="Titillium Web" w:cs="Titillium Web" w:eastAsia="Titillium Web" w:hAnsi="Titillium Web"/>
          <w:u w:val="single"/>
          <w:rtl w:val="0"/>
        </w:rPr>
        <w:t xml:space="preserve">Diagramme de Givoni</w:t>
      </w:r>
      <w:r w:rsidDel="00000000" w:rsidR="00000000" w:rsidRPr="00000000">
        <w:rPr>
          <w:rFonts w:ascii="Titillium Web" w:cs="Titillium Web" w:eastAsia="Titillium Web" w:hAnsi="Titillium Web"/>
          <w:rtl w:val="0"/>
        </w:rPr>
        <w:t xml:space="preserve"> : Zone de confort été/hiver en fonction des paramètres.</w:t>
      </w:r>
    </w:p>
    <w:p w:rsidR="00000000" w:rsidDel="00000000" w:rsidP="00000000" w:rsidRDefault="00000000" w:rsidRPr="00000000" w14:paraId="00000028">
      <w:pPr>
        <w:spacing w:after="240" w:before="240" w:lineRule="auto"/>
        <w:jc w:val="both"/>
        <w:rPr>
          <w:rFonts w:ascii="Titillium Web" w:cs="Titillium Web" w:eastAsia="Titillium Web" w:hAnsi="Titillium Web"/>
        </w:rPr>
      </w:pPr>
      <w:r w:rsidDel="00000000" w:rsidR="00000000" w:rsidRPr="00000000">
        <w:rPr>
          <w:rFonts w:ascii="Titillium Web" w:cs="Titillium Web" w:eastAsia="Titillium Web" w:hAnsi="Titillium Web"/>
          <w:u w:val="single"/>
          <w:rtl w:val="0"/>
        </w:rPr>
        <w:t xml:space="preserve">Les 3 strates du confort</w:t>
      </w:r>
      <w:r w:rsidDel="00000000" w:rsidR="00000000" w:rsidRPr="00000000">
        <w:rPr>
          <w:rFonts w:ascii="Titillium Web" w:cs="Titillium Web" w:eastAsia="Titillium Web" w:hAnsi="Titillium Web"/>
          <w:rtl w:val="0"/>
        </w:rPr>
        <w:t xml:space="preserve"> : enveloppe bâtiment, enveloppe corporelle et état d’esprit.</w:t>
      </w:r>
    </w:p>
    <w:p w:rsidR="00000000" w:rsidDel="00000000" w:rsidP="00000000" w:rsidRDefault="00000000" w:rsidRPr="00000000" w14:paraId="00000029">
      <w:pPr>
        <w:spacing w:after="240" w:before="240" w:lineRule="auto"/>
        <w:jc w:val="both"/>
        <w:rPr>
          <w:rFonts w:ascii="Titillium Web" w:cs="Titillium Web" w:eastAsia="Titillium Web" w:hAnsi="Titillium Web"/>
        </w:rPr>
      </w:pPr>
      <w:r w:rsidDel="00000000" w:rsidR="00000000" w:rsidRPr="00000000">
        <w:rPr>
          <w:rFonts w:ascii="Titillium Web" w:cs="Titillium Web" w:eastAsia="Titillium Web" w:hAnsi="Titillium Web"/>
          <w:u w:val="single"/>
          <w:rtl w:val="0"/>
        </w:rPr>
        <w:t xml:space="preserve">Les indicateurs du confort th</w:t>
      </w:r>
      <w:r w:rsidDel="00000000" w:rsidR="00000000" w:rsidRPr="00000000">
        <w:rPr>
          <w:rFonts w:ascii="Nova Mono" w:cs="Nova Mono" w:eastAsia="Nova Mono" w:hAnsi="Nova Mono"/>
          <w:rtl w:val="0"/>
        </w:rPr>
        <w:t xml:space="preserve"> : HQE, diagramme de Brager, de Givoni, simulation thermique dynamique lors de la conception/réhabilitation → chercher l’optimum technique/économique, PHPP …</w:t>
      </w:r>
    </w:p>
    <w:p w:rsidR="00000000" w:rsidDel="00000000" w:rsidP="00000000" w:rsidRDefault="00000000" w:rsidRPr="00000000" w14:paraId="0000002A">
      <w:pPr>
        <w:spacing w:after="240" w:before="240" w:lineRule="auto"/>
        <w:jc w:val="both"/>
        <w:rPr>
          <w:rFonts w:ascii="Titillium Web" w:cs="Titillium Web" w:eastAsia="Titillium Web" w:hAnsi="Titillium Web"/>
        </w:rPr>
      </w:pPr>
      <w:r w:rsidDel="00000000" w:rsidR="00000000" w:rsidRPr="00000000">
        <w:rPr>
          <w:rFonts w:ascii="Titillium Web" w:cs="Titillium Web" w:eastAsia="Titillium Web" w:hAnsi="Titillium Web"/>
          <w:u w:val="single"/>
          <w:rtl w:val="0"/>
        </w:rPr>
        <w:t xml:space="preserve">Normes et réglementations </w:t>
      </w:r>
      <w:r w:rsidDel="00000000" w:rsidR="00000000" w:rsidRPr="00000000">
        <w:rPr>
          <w:rFonts w:ascii="Titillium Web" w:cs="Titillium Web" w:eastAsia="Titillium Web" w:hAnsi="Titillium Web"/>
          <w:rtl w:val="0"/>
        </w:rPr>
        <w:t xml:space="preserve">: HQE, ISO, NF EN, RT2012, RE2020 ; consommation d’énergie selon les réglementations. ex : RT2012 : 50 kWh/m²/an</w:t>
      </w:r>
    </w:p>
    <w:p w:rsidR="00000000" w:rsidDel="00000000" w:rsidP="00000000" w:rsidRDefault="00000000" w:rsidRPr="00000000" w14:paraId="0000002B">
      <w:pPr>
        <w:pStyle w:val="Heading1"/>
        <w:spacing w:after="240" w:before="240" w:lineRule="auto"/>
        <w:jc w:val="both"/>
        <w:rPr/>
      </w:pPr>
      <w:bookmarkStart w:colFirst="0" w:colLast="0" w:name="_ni9835oqenmw" w:id="2"/>
      <w:bookmarkEnd w:id="2"/>
      <w:r w:rsidDel="00000000" w:rsidR="00000000" w:rsidRPr="00000000">
        <w:rPr>
          <w:rtl w:val="0"/>
        </w:rPr>
        <w:t xml:space="preserve">Conception énergétique : les bonnes pratiques </w:t>
      </w:r>
    </w:p>
    <w:p w:rsidR="00000000" w:rsidDel="00000000" w:rsidP="00000000" w:rsidRDefault="00000000" w:rsidRPr="00000000" w14:paraId="0000002C">
      <w:pPr>
        <w:spacing w:after="240" w:before="240" w:line="240" w:lineRule="auto"/>
        <w:ind w:firstLine="720"/>
        <w:jc w:val="both"/>
        <w:rPr>
          <w:rFonts w:ascii="Titillium Web" w:cs="Titillium Web" w:eastAsia="Titillium Web" w:hAnsi="Titillium Web"/>
        </w:rPr>
      </w:pPr>
      <w:r w:rsidDel="00000000" w:rsidR="00000000" w:rsidRPr="00000000">
        <w:rPr>
          <w:rFonts w:ascii="Titillium Web" w:cs="Titillium Web" w:eastAsia="Titillium Web" w:hAnsi="Titillium Web"/>
          <w:u w:val="single"/>
          <w:rtl w:val="0"/>
        </w:rPr>
        <w:t xml:space="preserve">Optimisation énergétique du bâtiment</w:t>
      </w:r>
      <w:r w:rsidDel="00000000" w:rsidR="00000000" w:rsidRPr="00000000">
        <w:rPr>
          <w:rFonts w:ascii="Titillium Web" w:cs="Titillium Web" w:eastAsia="Titillium Web" w:hAnsi="Titillium Web"/>
          <w:rtl w:val="0"/>
        </w:rPr>
        <w:t xml:space="preserve"> : orientation, ouverture, stratégie des pièces, capter et se protéger de la chaleur (course solaire), compacité (collectif vs individuel)</w:t>
      </w:r>
    </w:p>
    <w:p w:rsidR="00000000" w:rsidDel="00000000" w:rsidP="00000000" w:rsidRDefault="00000000" w:rsidRPr="00000000" w14:paraId="0000002D">
      <w:pPr>
        <w:spacing w:after="240" w:before="240" w:line="240" w:lineRule="auto"/>
        <w:ind w:firstLine="720"/>
        <w:jc w:val="both"/>
        <w:rPr>
          <w:rFonts w:ascii="Titillium Web" w:cs="Titillium Web" w:eastAsia="Titillium Web" w:hAnsi="Titillium Web"/>
        </w:rPr>
      </w:pPr>
      <w:r w:rsidDel="00000000" w:rsidR="00000000" w:rsidRPr="00000000">
        <w:rPr>
          <w:rFonts w:ascii="Titillium Web" w:cs="Titillium Web" w:eastAsia="Titillium Web" w:hAnsi="Titillium Web"/>
          <w:u w:val="single"/>
          <w:rtl w:val="0"/>
        </w:rPr>
        <w:t xml:space="preserve">Isolation</w:t>
      </w:r>
      <w:r w:rsidDel="00000000" w:rsidR="00000000" w:rsidRPr="00000000">
        <w:rPr>
          <w:rFonts w:ascii="Nova Mono" w:cs="Nova Mono" w:eastAsia="Nova Mono" w:hAnsi="Nova Mono"/>
          <w:rtl w:val="0"/>
        </w:rPr>
        <w:t xml:space="preserve"> : isoler le toit (25-30% de pertes) ; ni trop ni trop peu d’isolation, gestion inertie parois, gestions des ponts thermiques → mot d’ordre HOMOGÉNÉITÉ</w:t>
      </w:r>
    </w:p>
    <w:p w:rsidR="00000000" w:rsidDel="00000000" w:rsidP="00000000" w:rsidRDefault="00000000" w:rsidRPr="00000000" w14:paraId="0000002E">
      <w:pPr>
        <w:spacing w:after="240" w:before="240" w:line="240" w:lineRule="auto"/>
        <w:ind w:firstLine="720"/>
        <w:jc w:val="both"/>
        <w:rPr>
          <w:rFonts w:ascii="Titillium Web" w:cs="Titillium Web" w:eastAsia="Titillium Web" w:hAnsi="Titillium Web"/>
        </w:rPr>
      </w:pPr>
      <w:r w:rsidDel="00000000" w:rsidR="00000000" w:rsidRPr="00000000">
        <w:rPr>
          <w:rFonts w:ascii="Titillium Web" w:cs="Titillium Web" w:eastAsia="Titillium Web" w:hAnsi="Titillium Web"/>
          <w:u w:val="single"/>
          <w:rtl w:val="0"/>
        </w:rPr>
        <w:t xml:space="preserve">Surfaces vitrées</w:t>
      </w:r>
      <w:r w:rsidDel="00000000" w:rsidR="00000000" w:rsidRPr="00000000">
        <w:rPr>
          <w:rFonts w:ascii="Titillium Web" w:cs="Titillium Web" w:eastAsia="Titillium Web" w:hAnsi="Titillium Web"/>
          <w:rtl w:val="0"/>
        </w:rPr>
        <w:t xml:space="preserve"> : compromis énergie/confort, gestion des occultations, simple/double/triple vitrage optimal selon apport énergie solaire</w:t>
      </w:r>
    </w:p>
    <w:p w:rsidR="00000000" w:rsidDel="00000000" w:rsidP="00000000" w:rsidRDefault="00000000" w:rsidRPr="00000000" w14:paraId="0000002F">
      <w:pPr>
        <w:spacing w:after="240" w:before="240" w:line="240" w:lineRule="auto"/>
        <w:ind w:firstLine="720"/>
        <w:jc w:val="both"/>
        <w:rPr>
          <w:rFonts w:ascii="Titillium Web" w:cs="Titillium Web" w:eastAsia="Titillium Web" w:hAnsi="Titillium Web"/>
        </w:rPr>
      </w:pPr>
      <w:r w:rsidDel="00000000" w:rsidR="00000000" w:rsidRPr="00000000">
        <w:rPr>
          <w:rFonts w:ascii="Titillium Web" w:cs="Titillium Web" w:eastAsia="Titillium Web" w:hAnsi="Titillium Web"/>
          <w:u w:val="single"/>
          <w:rtl w:val="0"/>
        </w:rPr>
        <w:t xml:space="preserve">Inertie</w:t>
      </w:r>
      <w:r w:rsidDel="00000000" w:rsidR="00000000" w:rsidRPr="00000000">
        <w:rPr>
          <w:rFonts w:ascii="Titillium Web" w:cs="Titillium Web" w:eastAsia="Titillium Web" w:hAnsi="Titillium Web"/>
          <w:rtl w:val="0"/>
        </w:rPr>
        <w:t xml:space="preserve"> (Projet La Belle Brique APALA = projet de brique en terre crue) : impact inertie selon  typologie de logements individuels, sur la température maximale traduite en taux d’inconfort HQE, lisse aussi la variation des températures sur la journée. Permet de profiter de déphasages intéressants : garde la chaleur la nuit et la fraîcheur le jour.</w:t>
      </w:r>
    </w:p>
    <w:p w:rsidR="00000000" w:rsidDel="00000000" w:rsidP="00000000" w:rsidRDefault="00000000" w:rsidRPr="00000000" w14:paraId="00000030">
      <w:pPr>
        <w:spacing w:after="240" w:before="240" w:line="240" w:lineRule="auto"/>
        <w:ind w:firstLine="720"/>
        <w:jc w:val="both"/>
        <w:rPr>
          <w:rFonts w:ascii="Titillium Web" w:cs="Titillium Web" w:eastAsia="Titillium Web" w:hAnsi="Titillium Web"/>
        </w:rPr>
      </w:pPr>
      <w:r w:rsidDel="00000000" w:rsidR="00000000" w:rsidRPr="00000000">
        <w:rPr>
          <w:rFonts w:ascii="Titillium Web" w:cs="Titillium Web" w:eastAsia="Titillium Web" w:hAnsi="Titillium Web"/>
          <w:u w:val="single"/>
          <w:rtl w:val="0"/>
        </w:rPr>
        <w:t xml:space="preserve">Ventilation</w:t>
      </w:r>
      <w:r w:rsidDel="00000000" w:rsidR="00000000" w:rsidRPr="00000000">
        <w:rPr>
          <w:rFonts w:ascii="Titillium Web" w:cs="Titillium Web" w:eastAsia="Titillium Web" w:hAnsi="Titillium Web"/>
          <w:rtl w:val="0"/>
        </w:rPr>
        <w:t xml:space="preserve"> : (VMC double flux, puits canadiens/provençaux, destratificateurs), nécessaire pour le confort thermique, hygrométrique, qualité de l’air, vitesse d’air</w:t>
        <w:br w:type="textWrapping"/>
        <w:t xml:space="preserve">Débits doivent maîtrisés (sinon courant d’air), réglementation des débits d’air minimum</w:t>
      </w:r>
    </w:p>
    <w:p w:rsidR="00000000" w:rsidDel="00000000" w:rsidP="00000000" w:rsidRDefault="00000000" w:rsidRPr="00000000" w14:paraId="00000031">
      <w:pPr>
        <w:spacing w:after="240" w:before="240" w:line="240" w:lineRule="auto"/>
        <w:ind w:firstLine="720"/>
        <w:jc w:val="both"/>
        <w:rPr>
          <w:rFonts w:ascii="Titillium Web" w:cs="Titillium Web" w:eastAsia="Titillium Web" w:hAnsi="Titillium Web"/>
        </w:rPr>
      </w:pPr>
      <w:r w:rsidDel="00000000" w:rsidR="00000000" w:rsidRPr="00000000">
        <w:rPr>
          <w:rFonts w:ascii="Titillium Web" w:cs="Titillium Web" w:eastAsia="Titillium Web" w:hAnsi="Titillium Web"/>
          <w:u w:val="single"/>
          <w:rtl w:val="0"/>
        </w:rPr>
        <w:t xml:space="preserve">Chauffage</w:t>
      </w:r>
      <w:r w:rsidDel="00000000" w:rsidR="00000000" w:rsidRPr="00000000">
        <w:rPr>
          <w:rFonts w:ascii="Nova Mono" w:cs="Nova Mono" w:eastAsia="Nova Mono" w:hAnsi="Nova Mono"/>
          <w:rtl w:val="0"/>
        </w:rPr>
        <w:t xml:space="preserve"> : bâtiment passif (10 W/m2, soit moins de 4 kWh/m2) → surinvestir dans l’enveloppe pour économiser sur les systèmes de chauffage ;</w:t>
        <w:br w:type="textWrapping"/>
        <w:t xml:space="preserve">avantages + :  peu de systèmes techniques, enveloppe homogène performante confortable</w:t>
        <w:br w:type="textWrapping"/>
        <w:t xml:space="preserve">inconvénients - : utilisateurs un minimum engagés pour un fonctionnement optimal, surcoût global à la construction</w:t>
      </w:r>
    </w:p>
    <w:p w:rsidR="00000000" w:rsidDel="00000000" w:rsidP="00000000" w:rsidRDefault="00000000" w:rsidRPr="00000000" w14:paraId="00000032">
      <w:pPr>
        <w:spacing w:after="240" w:before="240" w:line="240" w:lineRule="auto"/>
        <w:ind w:firstLine="720"/>
        <w:jc w:val="both"/>
        <w:rPr>
          <w:rFonts w:ascii="Titillium Web" w:cs="Titillium Web" w:eastAsia="Titillium Web" w:hAnsi="Titillium Web"/>
        </w:rPr>
      </w:pPr>
      <w:r w:rsidDel="00000000" w:rsidR="00000000" w:rsidRPr="00000000">
        <w:rPr>
          <w:rFonts w:ascii="Titillium Web" w:cs="Titillium Web" w:eastAsia="Titillium Web" w:hAnsi="Titillium Web"/>
          <w:u w:val="single"/>
          <w:rtl w:val="0"/>
        </w:rPr>
        <w:t xml:space="preserve">Mode confort estival</w:t>
      </w:r>
      <w:r w:rsidDel="00000000" w:rsidR="00000000" w:rsidRPr="00000000">
        <w:rPr>
          <w:rFonts w:ascii="Titillium Web" w:cs="Titillium Web" w:eastAsia="Titillium Web" w:hAnsi="Titillium Web"/>
          <w:rtl w:val="0"/>
        </w:rPr>
        <w:t xml:space="preserve"> : stratégies de protection solaire efficace pour empêcher la surchauffe (orientation des baies, casquettes, brise soleil, stores) ; </w:t>
      </w:r>
    </w:p>
    <w:p w:rsidR="00000000" w:rsidDel="00000000" w:rsidP="00000000" w:rsidRDefault="00000000" w:rsidRPr="00000000" w14:paraId="00000033">
      <w:pPr>
        <w:pStyle w:val="Heading1"/>
        <w:spacing w:after="240" w:before="240" w:lineRule="auto"/>
        <w:jc w:val="both"/>
        <w:rPr>
          <w:u w:val="single"/>
        </w:rPr>
      </w:pPr>
      <w:bookmarkStart w:colFirst="0" w:colLast="0" w:name="_847ve075bjnb" w:id="3"/>
      <w:bookmarkEnd w:id="3"/>
      <w:hyperlink r:id="rId15">
        <w:r w:rsidDel="00000000" w:rsidR="00000000" w:rsidRPr="00000000">
          <w:rPr>
            <w:u w:val="single"/>
            <w:rtl w:val="0"/>
          </w:rPr>
          <w:t xml:space="preserve">BATIER, Cécile. Confort thermique et énergie dans l’habitat social en milieu méditerranéen. 2016. Thèse de doctorat. Université de Montpellier (lien URL)</w:t>
        </w:r>
      </w:hyperlink>
      <w:r w:rsidDel="00000000" w:rsidR="00000000" w:rsidRPr="00000000">
        <w:rPr>
          <w:rtl w:val="0"/>
        </w:rPr>
      </w:r>
    </w:p>
    <w:p w:rsidR="00000000" w:rsidDel="00000000" w:rsidP="00000000" w:rsidRDefault="00000000" w:rsidRPr="00000000" w14:paraId="00000034">
      <w:pPr>
        <w:numPr>
          <w:ilvl w:val="0"/>
          <w:numId w:val="3"/>
        </w:numPr>
        <w:spacing w:after="0" w:afterAutospacing="0" w:before="240" w:lineRule="auto"/>
        <w:ind w:left="720" w:hanging="360"/>
        <w:jc w:val="both"/>
        <w:rPr>
          <w:rFonts w:ascii="Titillium Web" w:cs="Titillium Web" w:eastAsia="Titillium Web" w:hAnsi="Titillium Web"/>
          <w:u w:val="none"/>
        </w:rPr>
      </w:pPr>
      <w:r w:rsidDel="00000000" w:rsidR="00000000" w:rsidRPr="00000000">
        <w:rPr>
          <w:rFonts w:ascii="Nova Mono" w:cs="Nova Mono" w:eastAsia="Nova Mono" w:hAnsi="Nova Mono"/>
          <w:rtl w:val="0"/>
        </w:rPr>
        <w:t xml:space="preserve">Écarts considérables consommations énergétiques prévisions/mesures in situ → rôle de l’utilisateur (action sur la fenêtre, le volet </w:t>
      </w:r>
      <w:r w:rsidDel="00000000" w:rsidR="00000000" w:rsidRPr="00000000">
        <w:rPr>
          <w:rFonts w:ascii="Titillium Web" w:cs="Titillium Web" w:eastAsia="Titillium Web" w:hAnsi="Titillium Web"/>
          <w:rtl w:val="0"/>
        </w:rPr>
        <w:t xml:space="preserve">modifie</w:t>
      </w:r>
      <w:r w:rsidDel="00000000" w:rsidR="00000000" w:rsidRPr="00000000">
        <w:rPr>
          <w:rFonts w:ascii="Titillium Web" w:cs="Titillium Web" w:eastAsia="Titillium Web" w:hAnsi="Titillium Web"/>
          <w:rtl w:val="0"/>
        </w:rPr>
        <w:t xml:space="preserve">  le renouvellement de l’air)</w:t>
      </w:r>
    </w:p>
    <w:p w:rsidR="00000000" w:rsidDel="00000000" w:rsidP="00000000" w:rsidRDefault="00000000" w:rsidRPr="00000000" w14:paraId="00000035">
      <w:pPr>
        <w:numPr>
          <w:ilvl w:val="0"/>
          <w:numId w:val="3"/>
        </w:numPr>
        <w:spacing w:after="0" w:afterAutospacing="0" w:before="0" w:beforeAutospacing="0" w:lineRule="auto"/>
        <w:ind w:left="720" w:hanging="360"/>
        <w:jc w:val="both"/>
        <w:rPr>
          <w:rFonts w:ascii="Titillium Web" w:cs="Titillium Web" w:eastAsia="Titillium Web" w:hAnsi="Titillium Web"/>
          <w:u w:val="none"/>
        </w:rPr>
      </w:pPr>
      <w:r w:rsidDel="00000000" w:rsidR="00000000" w:rsidRPr="00000000">
        <w:rPr>
          <w:rFonts w:ascii="Titillium Web" w:cs="Titillium Web" w:eastAsia="Titillium Web" w:hAnsi="Titillium Web"/>
          <w:rtl w:val="0"/>
        </w:rPr>
        <w:t xml:space="preserve">Analyse thermiques résidences </w:t>
      </w:r>
      <w:r w:rsidDel="00000000" w:rsidR="00000000" w:rsidRPr="00000000">
        <w:rPr>
          <w:rFonts w:ascii="Titillium Web" w:cs="Titillium Web" w:eastAsia="Titillium Web" w:hAnsi="Titillium Web"/>
          <w:rtl w:val="0"/>
        </w:rPr>
        <w:t xml:space="preserve">isolées VS</w:t>
      </w:r>
      <w:r w:rsidDel="00000000" w:rsidR="00000000" w:rsidRPr="00000000">
        <w:rPr>
          <w:rFonts w:ascii="Titillium Web" w:cs="Titillium Web" w:eastAsia="Titillium Web" w:hAnsi="Titillium Web"/>
          <w:rtl w:val="0"/>
        </w:rPr>
        <w:t xml:space="preserve"> non-isolée</w:t>
      </w:r>
      <w:r w:rsidDel="00000000" w:rsidR="00000000" w:rsidRPr="00000000">
        <w:rPr>
          <w:rFonts w:ascii="Titillium Web" w:cs="Titillium Web" w:eastAsia="Titillium Web" w:hAnsi="Titillium Web"/>
          <w:rtl w:val="0"/>
        </w:rPr>
        <w:t xml:space="preserve">s : </w:t>
      </w:r>
    </w:p>
    <w:p w:rsidR="00000000" w:rsidDel="00000000" w:rsidP="00000000" w:rsidRDefault="00000000" w:rsidRPr="00000000" w14:paraId="00000036">
      <w:pPr>
        <w:numPr>
          <w:ilvl w:val="1"/>
          <w:numId w:val="3"/>
        </w:numPr>
        <w:spacing w:after="0" w:afterAutospacing="0" w:before="0" w:beforeAutospacing="0" w:lineRule="auto"/>
        <w:ind w:left="1440" w:hanging="360"/>
        <w:jc w:val="both"/>
        <w:rPr>
          <w:rFonts w:ascii="Titillium Web" w:cs="Titillium Web" w:eastAsia="Titillium Web" w:hAnsi="Titillium Web"/>
          <w:u w:val="none"/>
        </w:rPr>
      </w:pPr>
      <w:r w:rsidDel="00000000" w:rsidR="00000000" w:rsidRPr="00000000">
        <w:rPr>
          <w:rFonts w:ascii="Titillium Web" w:cs="Titillium Web" w:eastAsia="Titillium Web" w:hAnsi="Titillium Web"/>
          <w:rtl w:val="0"/>
        </w:rPr>
        <w:t xml:space="preserve">Hiver : niveaux similaires de consommation pour un confort réduit dans celle non-isolée</w:t>
      </w:r>
    </w:p>
    <w:p w:rsidR="00000000" w:rsidDel="00000000" w:rsidP="00000000" w:rsidRDefault="00000000" w:rsidRPr="00000000" w14:paraId="00000037">
      <w:pPr>
        <w:numPr>
          <w:ilvl w:val="1"/>
          <w:numId w:val="3"/>
        </w:numPr>
        <w:spacing w:after="0" w:afterAutospacing="0" w:before="0" w:beforeAutospacing="0" w:lineRule="auto"/>
        <w:ind w:left="1440" w:hanging="360"/>
        <w:jc w:val="both"/>
        <w:rPr>
          <w:rFonts w:ascii="Titillium Web" w:cs="Titillium Web" w:eastAsia="Titillium Web" w:hAnsi="Titillium Web"/>
          <w:u w:val="none"/>
        </w:rPr>
      </w:pPr>
      <w:r w:rsidDel="00000000" w:rsidR="00000000" w:rsidRPr="00000000">
        <w:rPr>
          <w:rFonts w:ascii="Nova Mono" w:cs="Nova Mono" w:eastAsia="Nova Mono" w:hAnsi="Nova Mono"/>
          <w:rtl w:val="0"/>
        </w:rPr>
        <w:t xml:space="preserve">Eté : lors de pics de T° → surchauffes dans résidence isolée</w:t>
      </w:r>
    </w:p>
    <w:p w:rsidR="00000000" w:rsidDel="00000000" w:rsidP="00000000" w:rsidRDefault="00000000" w:rsidRPr="00000000" w14:paraId="00000038">
      <w:pPr>
        <w:numPr>
          <w:ilvl w:val="0"/>
          <w:numId w:val="3"/>
        </w:numPr>
        <w:spacing w:after="0" w:afterAutospacing="0" w:before="0" w:beforeAutospacing="0" w:lineRule="auto"/>
        <w:ind w:left="720" w:hanging="360"/>
        <w:jc w:val="both"/>
        <w:rPr>
          <w:rFonts w:ascii="Titillium Web" w:cs="Titillium Web" w:eastAsia="Titillium Web" w:hAnsi="Titillium Web"/>
          <w:u w:val="none"/>
        </w:rPr>
      </w:pPr>
      <w:r w:rsidDel="00000000" w:rsidR="00000000" w:rsidRPr="00000000">
        <w:rPr>
          <w:rFonts w:ascii="Titillium Web" w:cs="Titillium Web" w:eastAsia="Titillium Web" w:hAnsi="Titillium Web"/>
          <w:rtl w:val="0"/>
        </w:rPr>
        <w:t xml:space="preserve">Propositions </w:t>
      </w:r>
    </w:p>
    <w:p w:rsidR="00000000" w:rsidDel="00000000" w:rsidP="00000000" w:rsidRDefault="00000000" w:rsidRPr="00000000" w14:paraId="00000039">
      <w:pPr>
        <w:numPr>
          <w:ilvl w:val="1"/>
          <w:numId w:val="3"/>
        </w:numPr>
        <w:spacing w:after="0" w:afterAutospacing="0" w:before="0" w:beforeAutospacing="0" w:lineRule="auto"/>
        <w:ind w:left="1440" w:hanging="360"/>
        <w:jc w:val="both"/>
        <w:rPr>
          <w:rFonts w:ascii="Titillium Web" w:cs="Titillium Web" w:eastAsia="Titillium Web" w:hAnsi="Titillium Web"/>
          <w:u w:val="none"/>
        </w:rPr>
      </w:pPr>
      <w:r w:rsidDel="00000000" w:rsidR="00000000" w:rsidRPr="00000000">
        <w:rPr>
          <w:rFonts w:ascii="Titillium Web" w:cs="Titillium Web" w:eastAsia="Titillium Web" w:hAnsi="Titillium Web"/>
          <w:rtl w:val="0"/>
        </w:rPr>
        <w:t xml:space="preserve">Aider au changement de comportements des occupants : volet/fenêtre</w:t>
      </w:r>
    </w:p>
    <w:p w:rsidR="00000000" w:rsidDel="00000000" w:rsidP="00000000" w:rsidRDefault="00000000" w:rsidRPr="00000000" w14:paraId="0000003A">
      <w:pPr>
        <w:numPr>
          <w:ilvl w:val="1"/>
          <w:numId w:val="3"/>
        </w:numPr>
        <w:spacing w:after="0" w:afterAutospacing="0" w:before="0" w:beforeAutospacing="0" w:lineRule="auto"/>
        <w:ind w:left="1440" w:hanging="360"/>
        <w:jc w:val="both"/>
        <w:rPr>
          <w:rFonts w:ascii="Titillium Web" w:cs="Titillium Web" w:eastAsia="Titillium Web" w:hAnsi="Titillium Web"/>
          <w:u w:val="none"/>
        </w:rPr>
      </w:pPr>
      <w:r w:rsidDel="00000000" w:rsidR="00000000" w:rsidRPr="00000000">
        <w:rPr>
          <w:rFonts w:ascii="Titillium Web" w:cs="Titillium Web" w:eastAsia="Titillium Web" w:hAnsi="Titillium Web"/>
          <w:rtl w:val="0"/>
        </w:rPr>
        <w:t xml:space="preserve">Solutions architecturales adaptées aux pratiques des occupants </w:t>
      </w:r>
    </w:p>
    <w:p w:rsidR="00000000" w:rsidDel="00000000" w:rsidP="00000000" w:rsidRDefault="00000000" w:rsidRPr="00000000" w14:paraId="0000003B">
      <w:pPr>
        <w:numPr>
          <w:ilvl w:val="0"/>
          <w:numId w:val="3"/>
        </w:numPr>
        <w:spacing w:after="0" w:afterAutospacing="0" w:before="0" w:beforeAutospacing="0" w:lineRule="auto"/>
        <w:ind w:left="720" w:hanging="360"/>
        <w:jc w:val="both"/>
        <w:rPr>
          <w:rFonts w:ascii="Titillium Web" w:cs="Titillium Web" w:eastAsia="Titillium Web" w:hAnsi="Titillium Web"/>
          <w:u w:val="none"/>
        </w:rPr>
      </w:pPr>
      <w:r w:rsidDel="00000000" w:rsidR="00000000" w:rsidRPr="00000000">
        <w:rPr>
          <w:rFonts w:ascii="Titillium Web" w:cs="Titillium Web" w:eastAsia="Titillium Web" w:hAnsi="Titillium Web"/>
          <w:u w:val="single"/>
          <w:rtl w:val="0"/>
        </w:rPr>
        <w:t xml:space="preserve">Sociologie de l’énergie</w:t>
      </w:r>
      <w:r w:rsidDel="00000000" w:rsidR="00000000" w:rsidRPr="00000000">
        <w:rPr>
          <w:rFonts w:ascii="Titillium Web" w:cs="Titillium Web" w:eastAsia="Titillium Web" w:hAnsi="Titillium Web"/>
          <w:rtl w:val="0"/>
        </w:rPr>
        <w:t xml:space="preserve"> : interroger les pratiques des occupants en vue de proposer des solutions architecturales de limitation de l’inconfort et des consommations énergétiques (approche systémique, holistique, transversale d’un méthodologie prenant en compte l’occupant dans la conception)</w:t>
      </w:r>
    </w:p>
    <w:p w:rsidR="00000000" w:rsidDel="00000000" w:rsidP="00000000" w:rsidRDefault="00000000" w:rsidRPr="00000000" w14:paraId="0000003C">
      <w:pPr>
        <w:numPr>
          <w:ilvl w:val="0"/>
          <w:numId w:val="3"/>
        </w:numPr>
        <w:spacing w:after="0" w:afterAutospacing="0" w:before="0" w:beforeAutospacing="0" w:lineRule="auto"/>
        <w:ind w:left="720" w:hanging="360"/>
        <w:jc w:val="both"/>
        <w:rPr>
          <w:rFonts w:ascii="Titillium Web" w:cs="Titillium Web" w:eastAsia="Titillium Web" w:hAnsi="Titillium Web"/>
          <w:u w:val="none"/>
        </w:rPr>
      </w:pPr>
      <w:r w:rsidDel="00000000" w:rsidR="00000000" w:rsidRPr="00000000">
        <w:rPr>
          <w:rFonts w:ascii="Titillium Web" w:cs="Titillium Web" w:eastAsia="Titillium Web" w:hAnsi="Titillium Web"/>
          <w:u w:val="single"/>
          <w:rtl w:val="0"/>
        </w:rPr>
        <w:t xml:space="preserve">Architecture vernaculaire</w:t>
      </w:r>
      <w:r w:rsidDel="00000000" w:rsidR="00000000" w:rsidRPr="00000000">
        <w:rPr>
          <w:rFonts w:ascii="Titillium Web" w:cs="Titillium Web" w:eastAsia="Titillium Web" w:hAnsi="Titillium Web"/>
          <w:rtl w:val="0"/>
        </w:rPr>
        <w:t xml:space="preserve"> : type d’architecture communément répandu dans un pays, territoire ou aire données à une époque donnée ; le confort est une habitude culturelle</w:t>
      </w:r>
    </w:p>
    <w:p w:rsidR="00000000" w:rsidDel="00000000" w:rsidP="00000000" w:rsidRDefault="00000000" w:rsidRPr="00000000" w14:paraId="0000003D">
      <w:pPr>
        <w:numPr>
          <w:ilvl w:val="0"/>
          <w:numId w:val="3"/>
        </w:numPr>
        <w:spacing w:after="0" w:afterAutospacing="0" w:before="0" w:beforeAutospacing="0" w:lineRule="auto"/>
        <w:ind w:left="720" w:hanging="360"/>
        <w:jc w:val="both"/>
        <w:rPr>
          <w:rFonts w:ascii="Titillium Web" w:cs="Titillium Web" w:eastAsia="Titillium Web" w:hAnsi="Titillium Web"/>
          <w:u w:val="none"/>
        </w:rPr>
      </w:pPr>
      <w:r w:rsidDel="00000000" w:rsidR="00000000" w:rsidRPr="00000000">
        <w:rPr>
          <w:rFonts w:ascii="Titillium Web" w:cs="Titillium Web" w:eastAsia="Titillium Web" w:hAnsi="Titillium Web"/>
          <w:i w:val="1"/>
          <w:u w:val="single"/>
          <w:rtl w:val="0"/>
        </w:rPr>
        <w:t xml:space="preserve">Stratégie de rafraîchissement</w:t>
      </w:r>
      <w:r w:rsidDel="00000000" w:rsidR="00000000" w:rsidRPr="00000000">
        <w:rPr>
          <w:rFonts w:ascii="Titillium Web" w:cs="Titillium Web" w:eastAsia="Titillium Web" w:hAnsi="Titillium Web"/>
          <w:u w:val="single"/>
          <w:rtl w:val="0"/>
        </w:rPr>
        <w:t xml:space="preserve"> :</w:t>
      </w:r>
      <w:r w:rsidDel="00000000" w:rsidR="00000000" w:rsidRPr="00000000">
        <w:rPr>
          <w:rFonts w:ascii="Titillium Web" w:cs="Titillium Web" w:eastAsia="Titillium Web" w:hAnsi="Titillium Web"/>
          <w:rtl w:val="0"/>
        </w:rPr>
        <w:t xml:space="preserve"> protéger, minimiser, dissiper, refroidir VS </w:t>
      </w:r>
      <w:r w:rsidDel="00000000" w:rsidR="00000000" w:rsidRPr="00000000">
        <w:rPr>
          <w:rFonts w:ascii="Titillium Web" w:cs="Titillium Web" w:eastAsia="Titillium Web" w:hAnsi="Titillium Web"/>
          <w:i w:val="1"/>
          <w:u w:val="single"/>
          <w:rtl w:val="0"/>
        </w:rPr>
        <w:t xml:space="preserve">Stratégie du chaud</w:t>
      </w:r>
      <w:r w:rsidDel="00000000" w:rsidR="00000000" w:rsidRPr="00000000">
        <w:rPr>
          <w:rFonts w:ascii="Titillium Web" w:cs="Titillium Web" w:eastAsia="Titillium Web" w:hAnsi="Titillium Web"/>
          <w:u w:val="single"/>
          <w:rtl w:val="0"/>
        </w:rPr>
        <w:t xml:space="preserve"> :</w:t>
      </w:r>
      <w:r w:rsidDel="00000000" w:rsidR="00000000" w:rsidRPr="00000000">
        <w:rPr>
          <w:rFonts w:ascii="Titillium Web" w:cs="Titillium Web" w:eastAsia="Titillium Web" w:hAnsi="Titillium Web"/>
          <w:rtl w:val="0"/>
        </w:rPr>
        <w:t xml:space="preserve"> capter, stocker, distribuer, conserver. </w:t>
      </w:r>
    </w:p>
    <w:p w:rsidR="00000000" w:rsidDel="00000000" w:rsidP="00000000" w:rsidRDefault="00000000" w:rsidRPr="00000000" w14:paraId="0000003E">
      <w:pPr>
        <w:numPr>
          <w:ilvl w:val="0"/>
          <w:numId w:val="3"/>
        </w:numPr>
        <w:spacing w:after="0" w:afterAutospacing="0" w:before="0" w:beforeAutospacing="0" w:lineRule="auto"/>
        <w:ind w:left="720" w:hanging="360"/>
        <w:jc w:val="both"/>
        <w:rPr>
          <w:rFonts w:ascii="Titillium Web" w:cs="Titillium Web" w:eastAsia="Titillium Web" w:hAnsi="Titillium Web"/>
          <w:u w:val="none"/>
        </w:rPr>
      </w:pPr>
      <w:r w:rsidDel="00000000" w:rsidR="00000000" w:rsidRPr="00000000">
        <w:rPr>
          <w:rFonts w:ascii="Titillium Web" w:cs="Titillium Web" w:eastAsia="Titillium Web" w:hAnsi="Titillium Web"/>
          <w:u w:val="single"/>
          <w:rtl w:val="0"/>
        </w:rPr>
        <w:t xml:space="preserve">Typologie d’ouverture des fenêtres</w:t>
      </w:r>
      <w:r w:rsidDel="00000000" w:rsidR="00000000" w:rsidRPr="00000000">
        <w:rPr>
          <w:rFonts w:ascii="Titillium Web" w:cs="Titillium Web" w:eastAsia="Titillium Web" w:hAnsi="Titillium Web"/>
          <w:rtl w:val="0"/>
        </w:rPr>
        <w:t xml:space="preserve"> : à la française (encombrement, sentiment d’insécurité), à jalousie, à imposte (gain encombrement, évacuer l'air chaud à l’extérieur) ; </w:t>
      </w:r>
      <w:r w:rsidDel="00000000" w:rsidR="00000000" w:rsidRPr="00000000">
        <w:rPr>
          <w:rFonts w:ascii="Titillium Web" w:cs="Titillium Web" w:eastAsia="Titillium Web" w:hAnsi="Titillium Web"/>
          <w:i w:val="1"/>
          <w:rtl w:val="0"/>
        </w:rPr>
        <w:t xml:space="preserve">l’ouverture en journée est la pratique la plus défavorable du confort th</w:t>
      </w:r>
      <w:r w:rsidDel="00000000" w:rsidR="00000000" w:rsidRPr="00000000">
        <w:rPr>
          <w:rFonts w:ascii="Titillium Web" w:cs="Titillium Web" w:eastAsia="Titillium Web" w:hAnsi="Titillium Web"/>
          <w:rtl w:val="0"/>
        </w:rPr>
        <w:t xml:space="preserve">. </w:t>
      </w:r>
    </w:p>
    <w:p w:rsidR="00000000" w:rsidDel="00000000" w:rsidP="00000000" w:rsidRDefault="00000000" w:rsidRPr="00000000" w14:paraId="0000003F">
      <w:pPr>
        <w:numPr>
          <w:ilvl w:val="0"/>
          <w:numId w:val="3"/>
        </w:numPr>
        <w:spacing w:after="0" w:afterAutospacing="0" w:before="0" w:beforeAutospacing="0" w:lineRule="auto"/>
        <w:ind w:left="720" w:hanging="360"/>
        <w:jc w:val="both"/>
        <w:rPr>
          <w:rFonts w:ascii="Titillium Web" w:cs="Titillium Web" w:eastAsia="Titillium Web" w:hAnsi="Titillium Web"/>
          <w:u w:val="none"/>
        </w:rPr>
      </w:pPr>
      <w:r w:rsidDel="00000000" w:rsidR="00000000" w:rsidRPr="00000000">
        <w:rPr>
          <w:rFonts w:ascii="Titillium Web" w:cs="Titillium Web" w:eastAsia="Titillium Web" w:hAnsi="Titillium Web"/>
          <w:u w:val="single"/>
          <w:rtl w:val="0"/>
        </w:rPr>
        <w:t xml:space="preserve">Méthodes adaptatives pour retrouver son confort </w:t>
      </w:r>
      <w:r w:rsidDel="00000000" w:rsidR="00000000" w:rsidRPr="00000000">
        <w:rPr>
          <w:rFonts w:ascii="Titillium Web" w:cs="Titillium Web" w:eastAsia="Titillium Web" w:hAnsi="Titillium Web"/>
          <w:rtl w:val="0"/>
        </w:rPr>
        <w:t xml:space="preserve">: adaptation comportementale (agir de manière consciente sur variables personnelles, technologiques ou environnementales, culturelles), </w:t>
      </w:r>
      <w:r w:rsidDel="00000000" w:rsidR="00000000" w:rsidRPr="00000000">
        <w:rPr>
          <w:rFonts w:ascii="Titillium Web" w:cs="Titillium Web" w:eastAsia="Titillium Web" w:hAnsi="Titillium Web"/>
          <w:b w:val="1"/>
          <w:rtl w:val="0"/>
        </w:rPr>
        <w:t xml:space="preserve">physiologique </w:t>
      </w:r>
      <w:r w:rsidDel="00000000" w:rsidR="00000000" w:rsidRPr="00000000">
        <w:rPr>
          <w:rFonts w:ascii="Titillium Web" w:cs="Titillium Web" w:eastAsia="Titillium Web" w:hAnsi="Titillium Web"/>
          <w:rtl w:val="0"/>
        </w:rPr>
        <w:t xml:space="preserve">(réaction inconsciente du corps humain), psychologique (passé thermique et culturel)</w:t>
      </w:r>
    </w:p>
    <w:p w:rsidR="00000000" w:rsidDel="00000000" w:rsidP="00000000" w:rsidRDefault="00000000" w:rsidRPr="00000000" w14:paraId="00000040">
      <w:pPr>
        <w:numPr>
          <w:ilvl w:val="0"/>
          <w:numId w:val="3"/>
        </w:numPr>
        <w:spacing w:after="0" w:afterAutospacing="0" w:before="0" w:beforeAutospacing="0" w:lineRule="auto"/>
        <w:ind w:left="720" w:hanging="360"/>
        <w:jc w:val="both"/>
        <w:rPr>
          <w:rFonts w:ascii="Titillium Web" w:cs="Titillium Web" w:eastAsia="Titillium Web" w:hAnsi="Titillium Web"/>
          <w:u w:val="none"/>
        </w:rPr>
      </w:pPr>
      <w:r w:rsidDel="00000000" w:rsidR="00000000" w:rsidRPr="00000000">
        <w:rPr>
          <w:rFonts w:ascii="Titillium Web" w:cs="Titillium Web" w:eastAsia="Titillium Web" w:hAnsi="Titillium Web"/>
          <w:u w:val="single"/>
          <w:rtl w:val="0"/>
        </w:rPr>
        <w:t xml:space="preserve">Types de comportements</w:t>
      </w:r>
      <w:r w:rsidDel="00000000" w:rsidR="00000000" w:rsidRPr="00000000">
        <w:rPr>
          <w:rFonts w:ascii="Titillium Web" w:cs="Titillium Web" w:eastAsia="Titillium Web" w:hAnsi="Titillium Web"/>
          <w:rtl w:val="0"/>
        </w:rPr>
        <w:t xml:space="preserve"> : 1 action = plusieurs origines (nuisance sonore, olfactive, habitude quotidienne ancrée dans une routine journalière) ; Consommation d’énergie </w:t>
      </w:r>
      <w:r w:rsidDel="00000000" w:rsidR="00000000" w:rsidRPr="00000000">
        <w:rPr>
          <w:rFonts w:ascii="Titillium Web" w:cs="Titillium Web" w:eastAsia="Titillium Web" w:hAnsi="Titillium Web"/>
          <w:b w:val="1"/>
          <w:rtl w:val="0"/>
        </w:rPr>
        <w:t xml:space="preserve">facteur 3</w:t>
      </w:r>
      <w:r w:rsidDel="00000000" w:rsidR="00000000" w:rsidRPr="00000000">
        <w:rPr>
          <w:rFonts w:ascii="Titillium Web" w:cs="Titillium Web" w:eastAsia="Titillium Web" w:hAnsi="Titillium Web"/>
          <w:rtl w:val="0"/>
        </w:rPr>
        <w:t xml:space="preserve"> en fonction de la température consigne dictée + taux de renouvellement d’air souhaité ;</w:t>
      </w:r>
    </w:p>
    <w:p w:rsidR="00000000" w:rsidDel="00000000" w:rsidP="00000000" w:rsidRDefault="00000000" w:rsidRPr="00000000" w14:paraId="00000041">
      <w:pPr>
        <w:numPr>
          <w:ilvl w:val="0"/>
          <w:numId w:val="3"/>
        </w:numPr>
        <w:spacing w:after="0" w:afterAutospacing="0" w:before="0" w:beforeAutospacing="0" w:lineRule="auto"/>
        <w:ind w:left="720" w:hanging="360"/>
        <w:jc w:val="both"/>
        <w:rPr>
          <w:rFonts w:ascii="Titillium Web" w:cs="Titillium Web" w:eastAsia="Titillium Web" w:hAnsi="Titillium Web"/>
          <w:u w:val="none"/>
        </w:rPr>
      </w:pPr>
      <w:r w:rsidDel="00000000" w:rsidR="00000000" w:rsidRPr="00000000">
        <w:rPr>
          <w:rFonts w:ascii="Titillium Web" w:cs="Titillium Web" w:eastAsia="Titillium Web" w:hAnsi="Titillium Web"/>
          <w:u w:val="single"/>
          <w:rtl w:val="0"/>
        </w:rPr>
        <w:t xml:space="preserve">Psychologie comportementale </w:t>
      </w:r>
      <w:r w:rsidDel="00000000" w:rsidR="00000000" w:rsidRPr="00000000">
        <w:rPr>
          <w:rFonts w:ascii="Titillium Web" w:cs="Titillium Web" w:eastAsia="Titillium Web" w:hAnsi="Titillium Web"/>
          <w:rtl w:val="0"/>
        </w:rPr>
        <w:t xml:space="preserve"> : notion de contrôle de l’environnement </w:t>
      </w:r>
    </w:p>
    <w:p w:rsidR="00000000" w:rsidDel="00000000" w:rsidP="00000000" w:rsidRDefault="00000000" w:rsidRPr="00000000" w14:paraId="00000042">
      <w:pPr>
        <w:numPr>
          <w:ilvl w:val="1"/>
          <w:numId w:val="3"/>
        </w:numPr>
        <w:spacing w:after="0" w:afterAutospacing="0" w:before="0" w:beforeAutospacing="0" w:lineRule="auto"/>
        <w:ind w:left="1440" w:hanging="360"/>
        <w:jc w:val="both"/>
        <w:rPr>
          <w:rFonts w:ascii="Titillium Web" w:cs="Titillium Web" w:eastAsia="Titillium Web" w:hAnsi="Titillium Web"/>
          <w:u w:val="none"/>
        </w:rPr>
      </w:pPr>
      <w:r w:rsidDel="00000000" w:rsidR="00000000" w:rsidRPr="00000000">
        <w:rPr>
          <w:rFonts w:ascii="Titillium Web" w:cs="Titillium Web" w:eastAsia="Titillium Web" w:hAnsi="Titillium Web"/>
          <w:rtl w:val="0"/>
        </w:rPr>
        <w:t xml:space="preserve">Plus l'individu </w:t>
      </w:r>
      <w:r w:rsidDel="00000000" w:rsidR="00000000" w:rsidRPr="00000000">
        <w:rPr>
          <w:rFonts w:ascii="Titillium Web" w:cs="Titillium Web" w:eastAsia="Titillium Web" w:hAnsi="Titillium Web"/>
          <w:i w:val="1"/>
          <w:rtl w:val="0"/>
        </w:rPr>
        <w:t xml:space="preserve">estime</w:t>
      </w:r>
      <w:r w:rsidDel="00000000" w:rsidR="00000000" w:rsidRPr="00000000">
        <w:rPr>
          <w:rFonts w:ascii="Titillium Web" w:cs="Titillium Web" w:eastAsia="Titillium Web" w:hAnsi="Titillium Web"/>
          <w:rtl w:val="0"/>
        </w:rPr>
        <w:t xml:space="preserve"> qu’il peut </w:t>
      </w:r>
      <w:r w:rsidDel="00000000" w:rsidR="00000000" w:rsidRPr="00000000">
        <w:rPr>
          <w:rFonts w:ascii="Titillium Web" w:cs="Titillium Web" w:eastAsia="Titillium Web" w:hAnsi="Titillium Web"/>
          <w:b w:val="1"/>
          <w:rtl w:val="0"/>
        </w:rPr>
        <w:t xml:space="preserve">contrôler son environnement</w:t>
      </w:r>
      <w:r w:rsidDel="00000000" w:rsidR="00000000" w:rsidRPr="00000000">
        <w:rPr>
          <w:rFonts w:ascii="Titillium Web" w:cs="Titillium Web" w:eastAsia="Titillium Web" w:hAnsi="Titillium Web"/>
          <w:rtl w:val="0"/>
        </w:rPr>
        <w:t xml:space="preserve">, plus ses comportements adaptatifs sont efficaces. ;</w:t>
      </w:r>
    </w:p>
    <w:p w:rsidR="00000000" w:rsidDel="00000000" w:rsidP="00000000" w:rsidRDefault="00000000" w:rsidRPr="00000000" w14:paraId="00000043">
      <w:pPr>
        <w:numPr>
          <w:ilvl w:val="1"/>
          <w:numId w:val="3"/>
        </w:numPr>
        <w:spacing w:after="0" w:afterAutospacing="0" w:before="0" w:beforeAutospacing="0" w:lineRule="auto"/>
        <w:ind w:left="1440" w:hanging="360"/>
        <w:jc w:val="both"/>
        <w:rPr>
          <w:rFonts w:ascii="Titillium Web" w:cs="Titillium Web" w:eastAsia="Titillium Web" w:hAnsi="Titillium Web"/>
          <w:u w:val="none"/>
        </w:rPr>
      </w:pPr>
      <w:r w:rsidDel="00000000" w:rsidR="00000000" w:rsidRPr="00000000">
        <w:rPr>
          <w:rFonts w:ascii="Titillium Web" w:cs="Titillium Web" w:eastAsia="Titillium Web" w:hAnsi="Titillium Web"/>
          <w:rtl w:val="0"/>
        </w:rPr>
        <w:t xml:space="preserve">Individus + ou - indulgents face leur environnement thermique en fonction du type de bâtiments (tertiaire, personnel)</w:t>
      </w:r>
    </w:p>
    <w:p w:rsidR="00000000" w:rsidDel="00000000" w:rsidP="00000000" w:rsidRDefault="00000000" w:rsidRPr="00000000" w14:paraId="00000044">
      <w:pPr>
        <w:numPr>
          <w:ilvl w:val="0"/>
          <w:numId w:val="3"/>
        </w:numPr>
        <w:spacing w:after="0" w:afterAutospacing="0" w:before="0" w:beforeAutospacing="0" w:lineRule="auto"/>
        <w:ind w:left="720" w:hanging="360"/>
        <w:jc w:val="both"/>
        <w:rPr>
          <w:rFonts w:ascii="Titillium Web" w:cs="Titillium Web" w:eastAsia="Titillium Web" w:hAnsi="Titillium Web"/>
          <w:u w:val="none"/>
        </w:rPr>
      </w:pPr>
      <w:r w:rsidDel="00000000" w:rsidR="00000000" w:rsidRPr="00000000">
        <w:rPr>
          <w:rFonts w:ascii="Titillium Web" w:cs="Titillium Web" w:eastAsia="Titillium Web" w:hAnsi="Titillium Web"/>
          <w:u w:val="single"/>
          <w:rtl w:val="0"/>
        </w:rPr>
        <w:t xml:space="preserve">Aider au changement de comportement</w:t>
      </w:r>
      <w:r w:rsidDel="00000000" w:rsidR="00000000" w:rsidRPr="00000000">
        <w:rPr>
          <w:rFonts w:ascii="Titillium Web" w:cs="Titillium Web" w:eastAsia="Titillium Web" w:hAnsi="Titillium Web"/>
          <w:rtl w:val="0"/>
        </w:rPr>
        <w:t xml:space="preserve"> : concept du </w:t>
      </w:r>
      <w:r w:rsidDel="00000000" w:rsidR="00000000" w:rsidRPr="00000000">
        <w:rPr>
          <w:rFonts w:ascii="Titillium Web" w:cs="Titillium Web" w:eastAsia="Titillium Web" w:hAnsi="Titillium Web"/>
          <w:i w:val="1"/>
          <w:rtl w:val="0"/>
        </w:rPr>
        <w:t xml:space="preserve">nudge</w:t>
      </w:r>
      <w:r w:rsidDel="00000000" w:rsidR="00000000" w:rsidRPr="00000000">
        <w:rPr>
          <w:rFonts w:ascii="Titillium Web" w:cs="Titillium Web" w:eastAsia="Titillium Web" w:hAnsi="Titillium Web"/>
          <w:rtl w:val="0"/>
        </w:rPr>
        <w:t xml:space="preserve"> </w:t>
      </w:r>
    </w:p>
    <w:p w:rsidR="00000000" w:rsidDel="00000000" w:rsidP="00000000" w:rsidRDefault="00000000" w:rsidRPr="00000000" w14:paraId="00000045">
      <w:pPr>
        <w:numPr>
          <w:ilvl w:val="1"/>
          <w:numId w:val="3"/>
        </w:numPr>
        <w:spacing w:after="0" w:afterAutospacing="0" w:before="0" w:beforeAutospacing="0" w:lineRule="auto"/>
        <w:ind w:left="1440" w:hanging="360"/>
        <w:jc w:val="both"/>
        <w:rPr>
          <w:rFonts w:ascii="Titillium Web" w:cs="Titillium Web" w:eastAsia="Titillium Web" w:hAnsi="Titillium Web"/>
          <w:u w:val="none"/>
        </w:rPr>
      </w:pPr>
      <w:r w:rsidDel="00000000" w:rsidR="00000000" w:rsidRPr="00000000">
        <w:rPr>
          <w:rFonts w:ascii="Titillium Web" w:cs="Titillium Web" w:eastAsia="Titillium Web" w:hAnsi="Titillium Web"/>
          <w:i w:val="1"/>
          <w:rtl w:val="0"/>
        </w:rPr>
        <w:t xml:space="preserve">Coup de pouce</w:t>
      </w:r>
      <w:r w:rsidDel="00000000" w:rsidR="00000000" w:rsidRPr="00000000">
        <w:rPr>
          <w:rFonts w:ascii="Titillium Web" w:cs="Titillium Web" w:eastAsia="Titillium Web" w:hAnsi="Titillium Web"/>
          <w:rtl w:val="0"/>
        </w:rPr>
        <w:t xml:space="preserve"> : appuyer sur des facteurs psychologiques, faire le bon choix sans faire culpabiliser, plutôt accompagner, libres de suivre ou non les conseils</w:t>
      </w:r>
    </w:p>
    <w:p w:rsidR="00000000" w:rsidDel="00000000" w:rsidP="00000000" w:rsidRDefault="00000000" w:rsidRPr="00000000" w14:paraId="00000046">
      <w:pPr>
        <w:numPr>
          <w:ilvl w:val="1"/>
          <w:numId w:val="3"/>
        </w:numPr>
        <w:spacing w:after="0" w:afterAutospacing="0" w:before="0" w:beforeAutospacing="0" w:lineRule="auto"/>
        <w:ind w:left="1440" w:hanging="360"/>
        <w:jc w:val="both"/>
        <w:rPr>
          <w:rFonts w:ascii="Titillium Web" w:cs="Titillium Web" w:eastAsia="Titillium Web" w:hAnsi="Titillium Web"/>
          <w:u w:val="none"/>
        </w:rPr>
      </w:pPr>
      <w:r w:rsidDel="00000000" w:rsidR="00000000" w:rsidRPr="00000000">
        <w:rPr>
          <w:rFonts w:ascii="Titillium Web" w:cs="Titillium Web" w:eastAsia="Titillium Web" w:hAnsi="Titillium Web"/>
          <w:i w:val="1"/>
          <w:rtl w:val="0"/>
        </w:rPr>
        <w:t xml:space="preserve">Normes sociales</w:t>
      </w:r>
      <w:r w:rsidDel="00000000" w:rsidR="00000000" w:rsidRPr="00000000">
        <w:rPr>
          <w:rFonts w:ascii="Titillium Web" w:cs="Titillium Web" w:eastAsia="Titillium Web" w:hAnsi="Titillium Web"/>
          <w:rtl w:val="0"/>
        </w:rPr>
        <w:t xml:space="preserve"> : identifier des groupes sociaux homogènes, surtout connectés les uns aux autres pour transmettre un message adapté à leur aspiration</w:t>
      </w:r>
    </w:p>
    <w:p w:rsidR="00000000" w:rsidDel="00000000" w:rsidP="00000000" w:rsidRDefault="00000000" w:rsidRPr="00000000" w14:paraId="00000047">
      <w:pPr>
        <w:numPr>
          <w:ilvl w:val="1"/>
          <w:numId w:val="3"/>
        </w:numPr>
        <w:spacing w:after="240" w:before="0" w:beforeAutospacing="0" w:lineRule="auto"/>
        <w:ind w:left="1440" w:hanging="360"/>
        <w:jc w:val="both"/>
        <w:rPr>
          <w:rFonts w:ascii="Titillium Web" w:cs="Titillium Web" w:eastAsia="Titillium Web" w:hAnsi="Titillium Web"/>
          <w:u w:val="none"/>
        </w:rPr>
      </w:pPr>
      <w:r w:rsidDel="00000000" w:rsidR="00000000" w:rsidRPr="00000000">
        <w:rPr>
          <w:rFonts w:ascii="Titillium Web" w:cs="Titillium Web" w:eastAsia="Titillium Web" w:hAnsi="Titillium Web"/>
          <w:i w:val="1"/>
          <w:rtl w:val="0"/>
        </w:rPr>
        <w:t xml:space="preserve">Inciter le consommateur</w:t>
      </w:r>
      <w:r w:rsidDel="00000000" w:rsidR="00000000" w:rsidRPr="00000000">
        <w:rPr>
          <w:rFonts w:ascii="Titillium Web" w:cs="Titillium Web" w:eastAsia="Titillium Web" w:hAnsi="Titillium Web"/>
          <w:rtl w:val="0"/>
        </w:rPr>
        <w:t xml:space="preserve"> : campagnes d’incitation, sensibilisation, éducation ; feedback (connaître sa consommation réelle induit la plupart du temps une réduction moyenne de consommation énergétique de 7%, </w:t>
      </w:r>
      <w:r w:rsidDel="00000000" w:rsidR="00000000" w:rsidRPr="00000000">
        <w:rPr>
          <w:rFonts w:ascii="Titillium Web" w:cs="Titillium Web" w:eastAsia="Titillium Web" w:hAnsi="Titillium Web"/>
          <w:rtl w:val="0"/>
        </w:rPr>
        <w:t xml:space="preserve">parler</w:t>
      </w:r>
      <w:r w:rsidDel="00000000" w:rsidR="00000000" w:rsidRPr="00000000">
        <w:rPr>
          <w:rFonts w:ascii="PT Mono" w:cs="PT Mono" w:eastAsia="PT Mono" w:hAnsi="PT Mono"/>
          <w:rtl w:val="0"/>
        </w:rPr>
        <w:t xml:space="preserve"> en € plutôt qu’en kWh) ; récompenses monétaires </w:t>
      </w:r>
    </w:p>
    <w:p w:rsidR="00000000" w:rsidDel="00000000" w:rsidP="00000000" w:rsidRDefault="00000000" w:rsidRPr="00000000" w14:paraId="00000048">
      <w:pPr>
        <w:spacing w:after="240" w:before="240" w:lineRule="auto"/>
        <w:ind w:left="0" w:firstLine="0"/>
        <w:jc w:val="both"/>
        <w:rPr>
          <w:rFonts w:ascii="Titillium Web" w:cs="Titillium Web" w:eastAsia="Titillium Web" w:hAnsi="Titillium Web"/>
        </w:rPr>
      </w:pPr>
      <w:r w:rsidDel="00000000" w:rsidR="00000000" w:rsidRPr="00000000">
        <w:rPr>
          <w:rtl w:val="0"/>
        </w:rPr>
      </w:r>
    </w:p>
    <w:sectPr>
      <w:headerReference r:id="rId16" w:type="default"/>
      <w:headerReference r:id="rId17" w:type="first"/>
      <w:footerReference r:id="rId18" w:type="default"/>
      <w:footerReference r:id="rId19" w:type="first"/>
      <w:pgSz w:h="16834" w:w="11909" w:orient="portrait"/>
      <w:pgMar w:bottom="1440" w:top="1440" w:left="1440" w:right="1440" w:header="72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Caudex">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Titillium Web">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ova Mono">
    <w:embedRegular w:fontKey="{00000000-0000-0000-0000-000000000000}" r:id="rId9" w:subsetted="0"/>
  </w:font>
  <w:font w:name="PT Mono">
    <w:embedRegular w:fontKey="{00000000-0000-0000-0000-000000000000}" r:id="rId1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49">
    <w:pPr>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4A">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4B">
    <w:pPr>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4C">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4819650</wp:posOffset>
          </wp:positionH>
          <wp:positionV relativeFrom="paragraph">
            <wp:posOffset>-104774</wp:posOffset>
          </wp:positionV>
          <wp:extent cx="1357313" cy="254178"/>
          <wp:effectExtent b="0" l="0" r="0" t="0"/>
          <wp:wrapNone/>
          <wp:docPr id="4" name="image3.png"/>
          <a:graphic>
            <a:graphicData uri="http://schemas.openxmlformats.org/drawingml/2006/picture">
              <pic:pic>
                <pic:nvPicPr>
                  <pic:cNvPr id="0" name="image3.png"/>
                  <pic:cNvPicPr preferRelativeResize="0"/>
                </pic:nvPicPr>
                <pic:blipFill>
                  <a:blip r:embed="rId1"/>
                  <a:srcRect b="0" l="0" r="0" t="0"/>
                  <a:stretch>
                    <a:fillRect/>
                  </a:stretch>
                </pic:blipFill>
                <pic:spPr>
                  <a:xfrm>
                    <a:off x="0" y="0"/>
                    <a:ext cx="1357313" cy="254178"/>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-523874</wp:posOffset>
          </wp:positionH>
          <wp:positionV relativeFrom="paragraph">
            <wp:posOffset>-219074</wp:posOffset>
          </wp:positionV>
          <wp:extent cx="934140" cy="481013"/>
          <wp:effectExtent b="0" l="0" r="0" t="0"/>
          <wp:wrapNone/>
          <wp:docPr id="5" name="image7.png"/>
          <a:graphic>
            <a:graphicData uri="http://schemas.openxmlformats.org/drawingml/2006/picture">
              <pic:pic>
                <pic:nvPicPr>
                  <pic:cNvPr id="0" name="image7.png"/>
                  <pic:cNvPicPr preferRelativeResize="0"/>
                </pic:nvPicPr>
                <pic:blipFill>
                  <a:blip r:embed="rId2"/>
                  <a:srcRect b="0" l="0" r="0" t="0"/>
                  <a:stretch>
                    <a:fillRect/>
                  </a:stretch>
                </pic:blipFill>
                <pic:spPr>
                  <a:xfrm>
                    <a:off x="0" y="0"/>
                    <a:ext cx="934140" cy="481013"/>
                  </a:xfrm>
                  <a:prstGeom prst="rect"/>
                  <a:ln/>
                </pic:spPr>
              </pic:pic>
            </a:graphicData>
          </a:graphic>
        </wp:anchor>
      </w:drawing>
    </w:r>
  </w:p>
  <w:p w:rsidR="00000000" w:rsidDel="00000000" w:rsidP="00000000" w:rsidRDefault="00000000" w:rsidRPr="00000000" w14:paraId="0000004D">
    <w:pPr>
      <w:jc w:val="center"/>
      <w:rPr/>
    </w:pPr>
    <w:r w:rsidDel="00000000" w:rsidR="00000000" w:rsidRPr="00000000">
      <w:pict>
        <v:rect style="width:0.0pt;height:1.5pt" o:hr="t" o:hrstd="t" o:hralign="center" fillcolor="#A0A0A0" stroked="f"/>
      </w:pic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fr"/>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240" w:before="240" w:lineRule="auto"/>
      <w:jc w:val="both"/>
    </w:pPr>
    <w:rPr>
      <w:rFonts w:ascii="Titillium Web" w:cs="Titillium Web" w:eastAsia="Titillium Web" w:hAnsi="Titillium Web"/>
      <w:b w:val="1"/>
      <w:sz w:val="26"/>
      <w:szCs w:val="26"/>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1" Type="http://schemas.openxmlformats.org/officeDocument/2006/relationships/hyperlink" Target="https://www.codecogs.com/eqnedit.php?latex=E%3D%20%5Csqrt%7B%5Clambda%20%5Crho%20c%7D#0" TargetMode="External"/><Relationship Id="rId10" Type="http://schemas.openxmlformats.org/officeDocument/2006/relationships/image" Target="media/image1.png"/><Relationship Id="rId13" Type="http://schemas.openxmlformats.org/officeDocument/2006/relationships/hyperlink" Target="https://www.codecogs.com/eqnedit.php?latex=%5Ctau%20%3D%20%5Cfrac%7Be%5E2%7D%7BD_f%20%5Cpi%5E2%7D#0" TargetMode="External"/><Relationship Id="rId12" Type="http://schemas.openxmlformats.org/officeDocument/2006/relationships/image" Target="media/image2.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codecogs.com/eqnedit.php?latex=%5Ckappa%20%3D%20%5Cfrac%7B%5Clambda%7D%7B%5Crho%20c%7D#0" TargetMode="External"/><Relationship Id="rId15" Type="http://schemas.openxmlformats.org/officeDocument/2006/relationships/hyperlink" Target="https://hal.archives-ouvertes.fr/tel-01324038/document" TargetMode="External"/><Relationship Id="rId14" Type="http://schemas.openxmlformats.org/officeDocument/2006/relationships/image" Target="media/image5.png"/><Relationship Id="rId17" Type="http://schemas.openxmlformats.org/officeDocument/2006/relationships/header" Target="header2.xml"/><Relationship Id="rId16" Type="http://schemas.openxmlformats.org/officeDocument/2006/relationships/header" Target="header1.xml"/><Relationship Id="rId5" Type="http://schemas.openxmlformats.org/officeDocument/2006/relationships/styles" Target="styles.xml"/><Relationship Id="rId19" Type="http://schemas.openxmlformats.org/officeDocument/2006/relationships/footer" Target="footer2.xml"/><Relationship Id="rId6" Type="http://schemas.openxmlformats.org/officeDocument/2006/relationships/image" Target="media/image4.png"/><Relationship Id="rId18" Type="http://schemas.openxmlformats.org/officeDocument/2006/relationships/footer" Target="footer1.xml"/><Relationship Id="rId7" Type="http://schemas.openxmlformats.org/officeDocument/2006/relationships/hyperlink" Target="https://www.codecogs.com/eqnedit.php?latex=%5Clambda#0" TargetMode="External"/><Relationship Id="rId8" Type="http://schemas.openxmlformats.org/officeDocument/2006/relationships/image" Target="media/image6.png"/></Relationships>
</file>

<file path=word/_rels/fontTable.xml.rels><?xml version="1.0" encoding="UTF-8" standalone="yes"?><Relationships xmlns="http://schemas.openxmlformats.org/package/2006/relationships"><Relationship Id="rId1" Type="http://schemas.openxmlformats.org/officeDocument/2006/relationships/font" Target="fonts/Caudex-regular.ttf"/><Relationship Id="rId2" Type="http://schemas.openxmlformats.org/officeDocument/2006/relationships/font" Target="fonts/Caudex-bold.ttf"/><Relationship Id="rId3" Type="http://schemas.openxmlformats.org/officeDocument/2006/relationships/font" Target="fonts/Caudex-italic.ttf"/><Relationship Id="rId4" Type="http://schemas.openxmlformats.org/officeDocument/2006/relationships/font" Target="fonts/Caudex-boldItalic.ttf"/><Relationship Id="rId10" Type="http://schemas.openxmlformats.org/officeDocument/2006/relationships/font" Target="fonts/PTMono-regular.ttf"/><Relationship Id="rId9" Type="http://schemas.openxmlformats.org/officeDocument/2006/relationships/font" Target="fonts/NovaMono-regular.ttf"/><Relationship Id="rId5" Type="http://schemas.openxmlformats.org/officeDocument/2006/relationships/font" Target="fonts/TitilliumWeb-regular.ttf"/><Relationship Id="rId6" Type="http://schemas.openxmlformats.org/officeDocument/2006/relationships/font" Target="fonts/TitilliumWeb-bold.ttf"/><Relationship Id="rId7" Type="http://schemas.openxmlformats.org/officeDocument/2006/relationships/font" Target="fonts/TitilliumWeb-italic.ttf"/><Relationship Id="rId8" Type="http://schemas.openxmlformats.org/officeDocument/2006/relationships/font" Target="fonts/TitilliumWeb-boldItalic.ttf"/></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 Id="rId2"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