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tillium Web" w:cs="Titillium Web" w:eastAsia="Titillium Web" w:hAnsi="Titillium Web"/>
          <w:i w:val="1"/>
          <w:sz w:val="36"/>
          <w:szCs w:val="36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36"/>
          <w:szCs w:val="36"/>
          <w:rtl w:val="0"/>
        </w:rPr>
        <w:t xml:space="preserve">Les Matinales de la Transition Écologique </w:t>
        <w:br w:type="textWrapping"/>
      </w:r>
      <w:r w:rsidDel="00000000" w:rsidR="00000000" w:rsidRPr="00000000">
        <w:rPr>
          <w:rFonts w:ascii="Titillium Web" w:cs="Titillium Web" w:eastAsia="Titillium Web" w:hAnsi="Titillium Web"/>
          <w:sz w:val="36"/>
          <w:szCs w:val="36"/>
          <w:rtl w:val="0"/>
        </w:rPr>
        <w:t xml:space="preserve">« Perma-entreprise : un modèle viable pour un futur vivable, inspiré de la permaculture »</w:t>
        <w:br w:type="textWrapping"/>
      </w:r>
      <w:r w:rsidDel="00000000" w:rsidR="00000000" w:rsidRPr="00000000">
        <w:rPr>
          <w:rFonts w:ascii="Titillium Web" w:cs="Titillium Web" w:eastAsia="Titillium Web" w:hAnsi="Titillium Web"/>
          <w:i w:val="1"/>
          <w:sz w:val="36"/>
          <w:szCs w:val="36"/>
          <w:rtl w:val="0"/>
        </w:rPr>
        <w:t xml:space="preserve">Conférence avec Sylvain Breuzard</w:t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tillium Web" w:cs="Titillium Web" w:eastAsia="Titillium Web" w:hAnsi="Titillium Web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5.511811023622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989.328074985481"/>
        <w:gridCol w:w="2442.151780770114"/>
        <w:gridCol w:w="3080.749314568955"/>
        <w:gridCol w:w="1513.282640699072"/>
        <w:tblGridChange w:id="0">
          <w:tblGrid>
            <w:gridCol w:w="1989.328074985481"/>
            <w:gridCol w:w="2442.151780770114"/>
            <w:gridCol w:w="3080.749314568955"/>
            <w:gridCol w:w="1513.282640699072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Date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Lieu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Intervenant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Présents</w:t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17/01/2023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Amphi 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Sylvain Breuzard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Tous</w:t>
            </w:r>
          </w:p>
        </w:tc>
      </w:tr>
    </w:tbl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br w:type="textWrapping"/>
        <w:t xml:space="preserve">Lien de la captation : </w:t>
        <w:br w:type="textWrapping"/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[Les Matinales #23] Permaentreprise: un modèle viable pour un futur vivable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br w:type="textWrapping"/>
        <w:t xml:space="preserve">Notre résumé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left w:color="ffd966" w:space="2" w:sz="24" w:val="single"/>
        </w:pBdr>
        <w:spacing w:after="240" w:before="240" w:lineRule="auto"/>
        <w:jc w:val="both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La permaculture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rFonts w:ascii="Titillium Web" w:cs="Titillium Web" w:eastAsia="Titillium Web" w:hAnsi="Titillium Web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21"/>
          <w:szCs w:val="21"/>
          <w:highlight w:val="white"/>
          <w:rtl w:val="0"/>
        </w:rPr>
        <w:t xml:space="preserve">3 principes éthiques 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prendre soin des humains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prendre soin de la terre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fixer les limites (de consommation) et redistribuer les surplus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rFonts w:ascii="Titillium Web" w:cs="Titillium Web" w:eastAsia="Titillium Web" w:hAnsi="Titillium Web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21"/>
          <w:szCs w:val="21"/>
          <w:highlight w:val="white"/>
          <w:rtl w:val="0"/>
        </w:rPr>
        <w:t xml:space="preserve">12 principes de conception 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Observer et interagir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Economiser et régénérer les énergies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production sobre et efficace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Accepter autorégulation et rétroaction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Ressources renouvelables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Pas de déchets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Conception des motifs aux détails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Intégrer au lieu de séparer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solutions lentes à petites échelle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Se servir de la diversité</w:t>
        <w:br w:type="textWrapping"/>
        <w:t xml:space="preserve">…</w:t>
      </w:r>
    </w:p>
    <w:p w:rsidR="00000000" w:rsidDel="00000000" w:rsidP="00000000" w:rsidRDefault="00000000" w:rsidRPr="00000000" w14:paraId="0000001E">
      <w:pPr>
        <w:pBdr>
          <w:left w:color="ffd966" w:space="2" w:sz="24" w:val="single"/>
        </w:pBdr>
        <w:spacing w:after="240" w:before="240" w:lineRule="auto"/>
        <w:jc w:val="both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La perma-entreprise</w:t>
      </w:r>
    </w:p>
    <w:p w:rsidR="00000000" w:rsidDel="00000000" w:rsidP="00000000" w:rsidRDefault="00000000" w:rsidRPr="00000000" w14:paraId="0000001F">
      <w:pPr>
        <w:spacing w:after="240" w:before="240" w:lineRule="auto"/>
        <w:jc w:val="both"/>
        <w:rPr>
          <w:rFonts w:ascii="Titillium Web" w:cs="Titillium Web" w:eastAsia="Titillium Web" w:hAnsi="Titillium Web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21"/>
          <w:szCs w:val="21"/>
          <w:highlight w:val="white"/>
          <w:rtl w:val="0"/>
        </w:rPr>
        <w:t xml:space="preserve">Modèle de développement : </w:t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singl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single"/>
          <w:rtl w:val="0"/>
        </w:rPr>
        <w:t xml:space="preserve">Basé sur 3 principes éthiques :</w:t>
      </w:r>
    </w:p>
    <w:p w:rsidR="00000000" w:rsidDel="00000000" w:rsidP="00000000" w:rsidRDefault="00000000" w:rsidRPr="00000000" w14:paraId="00000021">
      <w:pPr>
        <w:spacing w:after="240" w:before="240" w:lineRule="auto"/>
        <w:ind w:left="0" w:firstLine="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- Prendre soins des hommes et des femmes</w:t>
        <w:br w:type="textWrapping"/>
        <w:t xml:space="preserve">- Préserver la planète</w:t>
        <w:br w:type="textWrapping"/>
        <w:t xml:space="preserve">- Se fixer des limites (faire des changements une opportunité plutôt que des contraintes) et redistribuer équitablement les richesses.</w:t>
      </w:r>
    </w:p>
    <w:p w:rsidR="00000000" w:rsidDel="00000000" w:rsidP="00000000" w:rsidRDefault="00000000" w:rsidRPr="00000000" w14:paraId="00000022">
      <w:pPr>
        <w:spacing w:after="240" w:before="240" w:lineRule="auto"/>
        <w:ind w:left="0" w:firstLine="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single"/>
          <w:rtl w:val="0"/>
        </w:rPr>
        <w:t xml:space="preserve">12 principes de “design” :</w:t>
      </w: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  à partir des principes de conception de la permaculture</w:t>
      </w:r>
    </w:p>
    <w:p w:rsidR="00000000" w:rsidDel="00000000" w:rsidP="00000000" w:rsidRDefault="00000000" w:rsidRPr="00000000" w14:paraId="00000023">
      <w:pPr>
        <w:spacing w:after="240" w:before="240" w:lineRule="auto"/>
        <w:ind w:left="0" w:firstLine="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21"/>
          <w:szCs w:val="21"/>
          <w:highlight w:val="white"/>
          <w:rtl w:val="0"/>
        </w:rPr>
        <w:t xml:space="preserve">Principe de la régénération des ressources</w:t>
      </w: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 -&gt; quel est le paysage de l’entreprise ? Quelle est la matière première ? (Information…) Quelle énergie est utilisée ? Argent ? Ressources humaines ?</w:t>
      </w:r>
    </w:p>
    <w:p w:rsidR="00000000" w:rsidDel="00000000" w:rsidP="00000000" w:rsidRDefault="00000000" w:rsidRPr="00000000" w14:paraId="00000024">
      <w:pPr>
        <w:spacing w:after="240" w:before="240" w:lineRule="auto"/>
        <w:ind w:left="0" w:firstLine="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-&gt; comment régénérer ses ressources et les utiliser sobrement ?</w:t>
      </w:r>
    </w:p>
    <w:p w:rsidR="00000000" w:rsidDel="00000000" w:rsidP="00000000" w:rsidRDefault="00000000" w:rsidRPr="00000000" w14:paraId="00000025">
      <w:pPr>
        <w:spacing w:after="240" w:before="240" w:lineRule="auto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singl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u w:val="single"/>
          <w:rtl w:val="0"/>
        </w:rPr>
        <w:t xml:space="preserve">(23) objectifs d’impacts indissociables du modèle : </w:t>
      </w:r>
    </w:p>
    <w:p w:rsidR="00000000" w:rsidDel="00000000" w:rsidP="00000000" w:rsidRDefault="00000000" w:rsidRPr="00000000" w14:paraId="00000026">
      <w:pPr>
        <w:spacing w:after="240" w:before="240" w:lineRule="auto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Agencement des écosystèmes -&gt; agencement des parties prenantes (par projet) : trouver un intérêt commun avec les différentes parties prenantes</w:t>
      </w:r>
    </w:p>
    <w:p w:rsidR="00000000" w:rsidDel="00000000" w:rsidP="00000000" w:rsidRDefault="00000000" w:rsidRPr="00000000" w14:paraId="00000027">
      <w:pPr>
        <w:spacing w:after="240" w:before="240" w:lineRule="auto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</w:rPr>
      </w:pPr>
      <w:r w:rsidDel="00000000" w:rsidR="00000000" w:rsidRPr="00000000">
        <w:rPr>
          <w:rFonts w:ascii="Titillium Web Light" w:cs="Titillium Web Light" w:eastAsia="Titillium Web Light" w:hAnsi="Titillium Web Light"/>
          <w:sz w:val="21"/>
          <w:szCs w:val="21"/>
          <w:highlight w:val="white"/>
          <w:rtl w:val="0"/>
        </w:rPr>
        <w:t xml:space="preserve">=&gt; Concevoir un référentiel propre (grille d’indicateur) pour en faire un outil de pilotage</w:t>
      </w:r>
    </w:p>
    <w:p w:rsidR="00000000" w:rsidDel="00000000" w:rsidP="00000000" w:rsidRDefault="00000000" w:rsidRPr="00000000" w14:paraId="00000028">
      <w:pPr>
        <w:spacing w:after="240" w:before="240" w:lineRule="auto"/>
        <w:ind w:left="0" w:firstLine="0"/>
        <w:jc w:val="both"/>
        <w:rPr>
          <w:rFonts w:ascii="Titillium Web Light" w:cs="Titillium Web Light" w:eastAsia="Titillium Web Light" w:hAnsi="Titillium Web Light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7" w:type="first"/>
      <w:footerReference r:id="rId8" w:type="default"/>
      <w:footerReference r:id="rId9" w:type="first"/>
      <w:pgSz w:h="16834" w:w="11909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tillium Web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Titillium Web Ligh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-523874</wp:posOffset>
          </wp:positionH>
          <wp:positionV relativeFrom="paragraph">
            <wp:posOffset>-219074</wp:posOffset>
          </wp:positionV>
          <wp:extent cx="934140" cy="481013"/>
          <wp:effectExtent b="0" l="0" r="0" t="0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34140" cy="48101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4819650</wp:posOffset>
          </wp:positionH>
          <wp:positionV relativeFrom="paragraph">
            <wp:posOffset>-104774</wp:posOffset>
          </wp:positionV>
          <wp:extent cx="1357313" cy="254178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25417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C">
    <w:pPr>
      <w:jc w:val="center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tZhh8laWKBY&amp;list=PLkY3kAplphBZscYKvh-rnmaAv3V2EYiFy&amp;index=1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itilliumWeb-regular.ttf"/><Relationship Id="rId2" Type="http://schemas.openxmlformats.org/officeDocument/2006/relationships/font" Target="fonts/TitilliumWeb-bold.ttf"/><Relationship Id="rId3" Type="http://schemas.openxmlformats.org/officeDocument/2006/relationships/font" Target="fonts/TitilliumWeb-italic.ttf"/><Relationship Id="rId4" Type="http://schemas.openxmlformats.org/officeDocument/2006/relationships/font" Target="fonts/TitilliumWeb-boldItalic.ttf"/><Relationship Id="rId5" Type="http://schemas.openxmlformats.org/officeDocument/2006/relationships/font" Target="fonts/TitilliumWebLight-regular.ttf"/><Relationship Id="rId6" Type="http://schemas.openxmlformats.org/officeDocument/2006/relationships/font" Target="fonts/TitilliumWebLight-bold.ttf"/><Relationship Id="rId7" Type="http://schemas.openxmlformats.org/officeDocument/2006/relationships/font" Target="fonts/TitilliumWebLight-italic.ttf"/><Relationship Id="rId8" Type="http://schemas.openxmlformats.org/officeDocument/2006/relationships/font" Target="fonts/TitilliumWebLigh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