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tillium Web" w:cs="Titillium Web" w:eastAsia="Titillium Web" w:hAnsi="Titillium Web"/>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2">
      <w:pPr>
        <w:spacing w:after="240" w:before="240" w:lineRule="auto"/>
        <w:jc w:val="center"/>
        <w:rPr>
          <w:rFonts w:ascii="Titillium Web" w:cs="Titillium Web" w:eastAsia="Titillium Web" w:hAnsi="Titillium Web"/>
          <w:b w:val="1"/>
          <w:sz w:val="36"/>
          <w:szCs w:val="36"/>
        </w:rPr>
      </w:pPr>
      <w:r w:rsidDel="00000000" w:rsidR="00000000" w:rsidRPr="00000000">
        <w:rPr>
          <w:rFonts w:ascii="Titillium Web" w:cs="Titillium Web" w:eastAsia="Titillium Web" w:hAnsi="Titillium Web"/>
          <w:b w:val="1"/>
          <w:sz w:val="36"/>
          <w:szCs w:val="36"/>
          <w:rtl w:val="0"/>
        </w:rPr>
        <w:t xml:space="preserve">Communication Responsable</w:t>
      </w:r>
    </w:p>
    <w:tbl>
      <w:tblPr>
        <w:tblStyle w:val="Table1"/>
        <w:tblW w:w="9025.511811023622"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989.328074985481"/>
        <w:gridCol w:w="2442.151780770114"/>
        <w:gridCol w:w="3080.749314568955"/>
        <w:gridCol w:w="1513.282640699072"/>
        <w:tblGridChange w:id="0">
          <w:tblGrid>
            <w:gridCol w:w="1989.328074985481"/>
            <w:gridCol w:w="2442.151780770114"/>
            <w:gridCol w:w="3080.749314568955"/>
            <w:gridCol w:w="1513.282640699072"/>
          </w:tblGrid>
        </w:tblGridChange>
      </w:tblGrid>
      <w:tr>
        <w:trPr>
          <w:cantSplit w:val="0"/>
          <w:trHeight w:val="63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3">
            <w:pPr>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Date</w:t>
            </w:r>
          </w:p>
        </w:tc>
        <w:tc>
          <w:tcPr>
            <w:tcMar>
              <w:top w:w="100.0" w:type="dxa"/>
              <w:left w:w="100.0" w:type="dxa"/>
              <w:bottom w:w="100.0" w:type="dxa"/>
              <w:right w:w="100.0" w:type="dxa"/>
            </w:tcMar>
            <w:vAlign w:val="top"/>
          </w:tcPr>
          <w:p w:rsidR="00000000" w:rsidDel="00000000" w:rsidP="00000000" w:rsidRDefault="00000000" w:rsidRPr="00000000" w14:paraId="00000004">
            <w:pPr>
              <w:widowControl w:val="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Lieu</w:t>
            </w:r>
          </w:p>
        </w:tc>
        <w:tc>
          <w:tcPr>
            <w:tcMar>
              <w:top w:w="100.0" w:type="dxa"/>
              <w:left w:w="100.0" w:type="dxa"/>
              <w:bottom w:w="100.0" w:type="dxa"/>
              <w:right w:w="100.0" w:type="dxa"/>
            </w:tcMar>
            <w:vAlign w:val="top"/>
          </w:tcPr>
          <w:p w:rsidR="00000000" w:rsidDel="00000000" w:rsidP="00000000" w:rsidRDefault="00000000" w:rsidRPr="00000000" w14:paraId="00000005">
            <w:pPr>
              <w:widowControl w:val="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Intervenant</w:t>
            </w:r>
          </w:p>
        </w:tc>
        <w:tc>
          <w:tcPr>
            <w:tcMar>
              <w:top w:w="100.0" w:type="dxa"/>
              <w:left w:w="100.0" w:type="dxa"/>
              <w:bottom w:w="100.0" w:type="dxa"/>
              <w:right w:w="100.0" w:type="dxa"/>
            </w:tcMar>
            <w:vAlign w:val="top"/>
          </w:tcPr>
          <w:p w:rsidR="00000000" w:rsidDel="00000000" w:rsidP="00000000" w:rsidRDefault="00000000" w:rsidRPr="00000000" w14:paraId="00000006">
            <w:pPr>
              <w:widowControl w:val="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Présents</w:t>
            </w:r>
          </w:p>
        </w:tc>
      </w:tr>
      <w:tr>
        <w:trPr>
          <w:cantSplit w:val="0"/>
          <w:trHeight w:val="63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7">
            <w:pPr>
              <w:widowControl w:val="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24 Janvier</w:t>
            </w:r>
          </w:p>
        </w:tc>
        <w:tc>
          <w:tcPr>
            <w:tcMar>
              <w:top w:w="100.0" w:type="dxa"/>
              <w:left w:w="100.0" w:type="dxa"/>
              <w:bottom w:w="100.0" w:type="dxa"/>
              <w:right w:w="100.0" w:type="dxa"/>
            </w:tcMar>
            <w:vAlign w:val="top"/>
          </w:tcPr>
          <w:p w:rsidR="00000000" w:rsidDel="00000000" w:rsidP="00000000" w:rsidRDefault="00000000" w:rsidRPr="00000000" w14:paraId="00000008">
            <w:pPr>
              <w:widowControl w:val="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T127</w:t>
            </w:r>
          </w:p>
        </w:tc>
        <w:tc>
          <w:tcPr>
            <w:tcMar>
              <w:top w:w="100.0" w:type="dxa"/>
              <w:left w:w="100.0" w:type="dxa"/>
              <w:bottom w:w="100.0" w:type="dxa"/>
              <w:right w:w="100.0" w:type="dxa"/>
            </w:tcMar>
            <w:vAlign w:val="top"/>
          </w:tcPr>
          <w:p w:rsidR="00000000" w:rsidDel="00000000" w:rsidP="00000000" w:rsidRDefault="00000000" w:rsidRPr="00000000" w14:paraId="00000009">
            <w:pPr>
              <w:widowControl w:val="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Amandine Garnier</w:t>
            </w:r>
          </w:p>
        </w:tc>
        <w:tc>
          <w:tcPr>
            <w:tcMar>
              <w:top w:w="100.0" w:type="dxa"/>
              <w:left w:w="100.0" w:type="dxa"/>
              <w:bottom w:w="100.0" w:type="dxa"/>
              <w:right w:w="100.0" w:type="dxa"/>
            </w:tcMar>
            <w:vAlign w:val="top"/>
          </w:tcPr>
          <w:p w:rsidR="00000000" w:rsidDel="00000000" w:rsidP="00000000" w:rsidRDefault="00000000" w:rsidRPr="00000000" w14:paraId="0000000A">
            <w:pPr>
              <w:widowControl w:val="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Tous</w:t>
            </w:r>
          </w:p>
        </w:tc>
      </w:tr>
    </w:tbl>
    <w:p w:rsidR="00000000" w:rsidDel="00000000" w:rsidP="00000000" w:rsidRDefault="00000000" w:rsidRPr="00000000" w14:paraId="0000000B">
      <w:pPr>
        <w:spacing w:after="240" w:before="240" w:lineRule="auto"/>
        <w:jc w:val="both"/>
        <w:rPr>
          <w:rFonts w:ascii="Titillium Web" w:cs="Titillium Web" w:eastAsia="Titillium Web" w:hAnsi="Titillium Web"/>
          <w:b w:val="1"/>
        </w:rPr>
      </w:pPr>
      <w:r w:rsidDel="00000000" w:rsidR="00000000" w:rsidRPr="00000000">
        <w:rPr>
          <w:rFonts w:ascii="Titillium Web" w:cs="Titillium Web" w:eastAsia="Titillium Web" w:hAnsi="Titillium Web"/>
          <w:b w:val="1"/>
          <w:rtl w:val="0"/>
        </w:rPr>
        <w:t xml:space="preserve">PLAN </w:t>
      </w:r>
    </w:p>
    <w:p w:rsidR="00000000" w:rsidDel="00000000" w:rsidP="00000000" w:rsidRDefault="00000000" w:rsidRPr="00000000" w14:paraId="0000000C">
      <w:pPr>
        <w:numPr>
          <w:ilvl w:val="0"/>
          <w:numId w:val="2"/>
        </w:numPr>
        <w:spacing w:after="0" w:afterAutospacing="0" w:before="240" w:lineRule="auto"/>
        <w:ind w:left="720" w:hanging="360"/>
        <w:jc w:val="both"/>
        <w:rPr>
          <w:rFonts w:ascii="Titillium Web" w:cs="Titillium Web" w:eastAsia="Titillium Web" w:hAnsi="Titillium Web"/>
          <w:b w:val="1"/>
        </w:rPr>
      </w:pPr>
      <w:r w:rsidDel="00000000" w:rsidR="00000000" w:rsidRPr="00000000">
        <w:rPr>
          <w:rFonts w:ascii="Titillium Web" w:cs="Titillium Web" w:eastAsia="Titillium Web" w:hAnsi="Titillium Web"/>
          <w:b w:val="1"/>
          <w:rtl w:val="0"/>
        </w:rPr>
        <w:t xml:space="preserve">Parcours </w:t>
      </w:r>
      <w:r w:rsidDel="00000000" w:rsidR="00000000" w:rsidRPr="00000000">
        <w:rPr>
          <w:rFonts w:ascii="Titillium Web" w:cs="Titillium Web" w:eastAsia="Titillium Web" w:hAnsi="Titillium Web"/>
          <w:b w:val="1"/>
          <w:rtl w:val="0"/>
        </w:rPr>
        <w:t xml:space="preserve">d’Amandine</w:t>
      </w:r>
      <w:r w:rsidDel="00000000" w:rsidR="00000000" w:rsidRPr="00000000">
        <w:rPr>
          <w:rFonts w:ascii="Titillium Web" w:cs="Titillium Web" w:eastAsia="Titillium Web" w:hAnsi="Titillium Web"/>
          <w:b w:val="1"/>
          <w:rtl w:val="0"/>
        </w:rPr>
        <w:t xml:space="preserve"> Garnier</w:t>
      </w:r>
    </w:p>
    <w:p w:rsidR="00000000" w:rsidDel="00000000" w:rsidP="00000000" w:rsidRDefault="00000000" w:rsidRPr="00000000" w14:paraId="0000000D">
      <w:pPr>
        <w:numPr>
          <w:ilvl w:val="0"/>
          <w:numId w:val="2"/>
        </w:numPr>
        <w:spacing w:after="240" w:before="0" w:beforeAutospacing="0" w:lineRule="auto"/>
        <w:ind w:left="720" w:hanging="360"/>
        <w:jc w:val="both"/>
        <w:rPr>
          <w:rFonts w:ascii="Titillium Web" w:cs="Titillium Web" w:eastAsia="Titillium Web" w:hAnsi="Titillium Web"/>
          <w:b w:val="1"/>
        </w:rPr>
      </w:pPr>
      <w:r w:rsidDel="00000000" w:rsidR="00000000" w:rsidRPr="00000000">
        <w:rPr>
          <w:rFonts w:ascii="Titillium Web" w:cs="Titillium Web" w:eastAsia="Titillium Web" w:hAnsi="Titillium Web"/>
          <w:b w:val="1"/>
          <w:rtl w:val="0"/>
        </w:rPr>
        <w:t xml:space="preserve">Communication responsable</w:t>
      </w:r>
    </w:p>
    <w:p w:rsidR="00000000" w:rsidDel="00000000" w:rsidP="00000000" w:rsidRDefault="00000000" w:rsidRPr="00000000" w14:paraId="0000000E">
      <w:pPr>
        <w:spacing w:after="240" w:before="240" w:lineRule="auto"/>
        <w:jc w:val="both"/>
        <w:rPr>
          <w:rFonts w:ascii="Titillium Web" w:cs="Titillium Web" w:eastAsia="Titillium Web" w:hAnsi="Titillium Web"/>
          <w:b w:val="1"/>
        </w:rPr>
      </w:pPr>
      <w:r w:rsidDel="00000000" w:rsidR="00000000" w:rsidRPr="00000000">
        <w:rPr>
          <w:rtl w:val="0"/>
        </w:rPr>
      </w:r>
    </w:p>
    <w:p w:rsidR="00000000" w:rsidDel="00000000" w:rsidP="00000000" w:rsidRDefault="00000000" w:rsidRPr="00000000" w14:paraId="0000000F">
      <w:pPr>
        <w:pBdr>
          <w:left w:color="ffd966" w:space="2" w:sz="24" w:val="single"/>
        </w:pBdr>
        <w:spacing w:after="240" w:before="240" w:lineRule="auto"/>
        <w:jc w:val="both"/>
        <w:rPr>
          <w:rFonts w:ascii="Titillium Web" w:cs="Titillium Web" w:eastAsia="Titillium Web" w:hAnsi="Titillium Web"/>
          <w:b w:val="1"/>
        </w:rPr>
      </w:pPr>
      <w:r w:rsidDel="00000000" w:rsidR="00000000" w:rsidRPr="00000000">
        <w:rPr>
          <w:rFonts w:ascii="Titillium Web" w:cs="Titillium Web" w:eastAsia="Titillium Web" w:hAnsi="Titillium Web"/>
          <w:b w:val="1"/>
          <w:rtl w:val="0"/>
        </w:rPr>
        <w:t xml:space="preserve">Parcours</w:t>
      </w:r>
    </w:p>
    <w:p w:rsidR="00000000" w:rsidDel="00000000" w:rsidP="00000000" w:rsidRDefault="00000000" w:rsidRPr="00000000" w14:paraId="00000010">
      <w:pPr>
        <w:spacing w:after="240" w:before="240" w:lineRule="auto"/>
        <w:jc w:val="both"/>
        <w:rPr>
          <w:rFonts w:ascii="Titillium Web Light" w:cs="Titillium Web Light" w:eastAsia="Titillium Web Light" w:hAnsi="Titillium Web Light"/>
          <w:sz w:val="21"/>
          <w:szCs w:val="21"/>
          <w:highlight w:val="white"/>
        </w:rPr>
      </w:pPr>
      <w:r w:rsidDel="00000000" w:rsidR="00000000" w:rsidRPr="00000000">
        <w:rPr>
          <w:rFonts w:ascii="Titillium Web Light" w:cs="Titillium Web Light" w:eastAsia="Titillium Web Light" w:hAnsi="Titillium Web Light"/>
          <w:sz w:val="21"/>
          <w:szCs w:val="21"/>
          <w:highlight w:val="white"/>
          <w:rtl w:val="0"/>
        </w:rPr>
        <w:t xml:space="preserve">A travaillé au Low-Tech Lab pdt 4 ans. École de communication à Lyon (Réflexion orientée label, RSE, peu de réflexion sur les supports de comm…). Agence de communication = voie royale</w:t>
      </w:r>
    </w:p>
    <w:p w:rsidR="00000000" w:rsidDel="00000000" w:rsidP="00000000" w:rsidRDefault="00000000" w:rsidRPr="00000000" w14:paraId="00000011">
      <w:pPr>
        <w:spacing w:after="240" w:before="240" w:lineRule="auto"/>
        <w:jc w:val="both"/>
        <w:rPr>
          <w:rFonts w:ascii="Titillium Web Light" w:cs="Titillium Web Light" w:eastAsia="Titillium Web Light" w:hAnsi="Titillium Web Light"/>
          <w:sz w:val="21"/>
          <w:szCs w:val="21"/>
          <w:highlight w:val="white"/>
          <w:u w:val="single"/>
        </w:rPr>
      </w:pPr>
      <w:r w:rsidDel="00000000" w:rsidR="00000000" w:rsidRPr="00000000">
        <w:rPr>
          <w:rFonts w:ascii="Titillium Web Light" w:cs="Titillium Web Light" w:eastAsia="Titillium Web Light" w:hAnsi="Titillium Web Light"/>
          <w:sz w:val="21"/>
          <w:szCs w:val="21"/>
          <w:highlight w:val="white"/>
          <w:u w:val="single"/>
          <w:rtl w:val="0"/>
        </w:rPr>
        <w:t xml:space="preserve">Stage chez Gold of Bengal (devenu Low-Tech Lab)</w:t>
      </w:r>
    </w:p>
    <w:p w:rsidR="00000000" w:rsidDel="00000000" w:rsidP="00000000" w:rsidRDefault="00000000" w:rsidRPr="00000000" w14:paraId="00000012">
      <w:pPr>
        <w:numPr>
          <w:ilvl w:val="0"/>
          <w:numId w:val="3"/>
        </w:numPr>
        <w:spacing w:after="0" w:afterAutospacing="0" w:before="240" w:lineRule="auto"/>
        <w:ind w:left="72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Light" w:cs="Titillium Web Light" w:eastAsia="Titillium Web Light" w:hAnsi="Titillium Web Light"/>
          <w:sz w:val="21"/>
          <w:szCs w:val="21"/>
          <w:highlight w:val="white"/>
          <w:rtl w:val="0"/>
        </w:rPr>
        <w:t xml:space="preserve">2016 départ du Nomade des Mers</w:t>
      </w:r>
    </w:p>
    <w:p w:rsidR="00000000" w:rsidDel="00000000" w:rsidP="00000000" w:rsidRDefault="00000000" w:rsidRPr="00000000" w14:paraId="00000013">
      <w:pPr>
        <w:numPr>
          <w:ilvl w:val="0"/>
          <w:numId w:val="3"/>
        </w:numPr>
        <w:spacing w:after="0" w:afterAutospacing="0" w:before="0" w:beforeAutospacing="0" w:lineRule="auto"/>
        <w:ind w:left="72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Light" w:cs="Titillium Web Light" w:eastAsia="Titillium Web Light" w:hAnsi="Titillium Web Light"/>
          <w:sz w:val="21"/>
          <w:szCs w:val="21"/>
          <w:highlight w:val="white"/>
          <w:rtl w:val="0"/>
        </w:rPr>
        <w:t xml:space="preserve">la Low-tech : potentiel fédérateur bcp plus important, création du Low-tech Lab</w:t>
      </w:r>
    </w:p>
    <w:p w:rsidR="00000000" w:rsidDel="00000000" w:rsidP="00000000" w:rsidRDefault="00000000" w:rsidRPr="00000000" w14:paraId="00000014">
      <w:pPr>
        <w:numPr>
          <w:ilvl w:val="0"/>
          <w:numId w:val="3"/>
        </w:numPr>
        <w:spacing w:after="0" w:afterAutospacing="0" w:before="0" w:beforeAutospacing="0" w:lineRule="auto"/>
        <w:ind w:left="72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Light" w:cs="Titillium Web Light" w:eastAsia="Titillium Web Light" w:hAnsi="Titillium Web Light"/>
          <w:sz w:val="21"/>
          <w:szCs w:val="21"/>
          <w:highlight w:val="white"/>
          <w:rtl w:val="0"/>
        </w:rPr>
        <w:t xml:space="preserve">Captation de signaux faibles autour de la low-tech → facilitateur pour aider à passer à l’action</w:t>
      </w:r>
    </w:p>
    <w:p w:rsidR="00000000" w:rsidDel="00000000" w:rsidP="00000000" w:rsidRDefault="00000000" w:rsidRPr="00000000" w14:paraId="00000015">
      <w:pPr>
        <w:numPr>
          <w:ilvl w:val="0"/>
          <w:numId w:val="3"/>
        </w:numPr>
        <w:spacing w:after="240" w:before="0" w:beforeAutospacing="0" w:lineRule="auto"/>
        <w:ind w:left="72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Light" w:cs="Titillium Web Light" w:eastAsia="Titillium Web Light" w:hAnsi="Titillium Web Light"/>
          <w:sz w:val="21"/>
          <w:szCs w:val="21"/>
          <w:highlight w:val="white"/>
          <w:rtl w:val="0"/>
        </w:rPr>
        <w:t xml:space="preserve">Donner des outils à tous ceux qui demandent comment agir, dev les low-tech - rôle un peu pédagogique.</w:t>
      </w:r>
    </w:p>
    <w:p w:rsidR="00000000" w:rsidDel="00000000" w:rsidP="00000000" w:rsidRDefault="00000000" w:rsidRPr="00000000" w14:paraId="00000016">
      <w:pPr>
        <w:spacing w:after="240" w:before="240" w:lineRule="auto"/>
        <w:jc w:val="both"/>
        <w:rPr>
          <w:rFonts w:ascii="Titillium Web Light" w:cs="Titillium Web Light" w:eastAsia="Titillium Web Light" w:hAnsi="Titillium Web Light"/>
          <w:sz w:val="21"/>
          <w:szCs w:val="21"/>
          <w:highlight w:val="white"/>
        </w:rPr>
      </w:pPr>
      <w:r w:rsidDel="00000000" w:rsidR="00000000" w:rsidRPr="00000000">
        <w:rPr>
          <w:rFonts w:ascii="Titillium Web Light" w:cs="Titillium Web Light" w:eastAsia="Titillium Web Light" w:hAnsi="Titillium Web Light"/>
          <w:sz w:val="21"/>
          <w:szCs w:val="21"/>
          <w:highlight w:val="white"/>
          <w:rtl w:val="0"/>
        </w:rPr>
        <w:t xml:space="preserve">Le Low-tech Lab comprend Corentin et son Nomade des mers, les autres associés avaient aussi envie de gagner du sens (le low-tech tour france, enquête low-tech…) chaque acteur est moteur d’un projet qui lui tient à cœur.</w:t>
      </w:r>
    </w:p>
    <w:p w:rsidR="00000000" w:rsidDel="00000000" w:rsidP="00000000" w:rsidRDefault="00000000" w:rsidRPr="00000000" w14:paraId="00000017">
      <w:pPr>
        <w:pBdr>
          <w:left w:color="ffd966" w:space="2" w:sz="24" w:val="single"/>
        </w:pBdr>
        <w:spacing w:after="240" w:before="240" w:lineRule="auto"/>
        <w:jc w:val="both"/>
        <w:rPr>
          <w:rFonts w:ascii="Titillium Web Light" w:cs="Titillium Web Light" w:eastAsia="Titillium Web Light" w:hAnsi="Titillium Web Light"/>
          <w:sz w:val="21"/>
          <w:szCs w:val="21"/>
          <w:highlight w:val="white"/>
        </w:rPr>
      </w:pPr>
      <w:r w:rsidDel="00000000" w:rsidR="00000000" w:rsidRPr="00000000">
        <w:rPr>
          <w:rFonts w:ascii="Titillium Web" w:cs="Titillium Web" w:eastAsia="Titillium Web" w:hAnsi="Titillium Web"/>
          <w:b w:val="1"/>
          <w:rtl w:val="0"/>
        </w:rPr>
        <w:t xml:space="preserve">Communication responsable</w:t>
      </w:r>
      <w:r w:rsidDel="00000000" w:rsidR="00000000" w:rsidRPr="00000000">
        <w:rPr>
          <w:rtl w:val="0"/>
        </w:rPr>
      </w:r>
    </w:p>
    <w:p w:rsidR="00000000" w:rsidDel="00000000" w:rsidP="00000000" w:rsidRDefault="00000000" w:rsidRPr="00000000" w14:paraId="00000018">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Dépasser la vision “bricolow”, réfléchir la solution dans son système, apporter des méthodes de transition des institutions et des territoires</w:t>
      </w:r>
    </w:p>
    <w:p w:rsidR="00000000" w:rsidDel="00000000" w:rsidP="00000000" w:rsidRDefault="00000000" w:rsidRPr="00000000" w14:paraId="00000019">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démarche low-tech = innovation globale, approche systémique.</w:t>
      </w:r>
    </w:p>
    <w:p w:rsidR="00000000" w:rsidDel="00000000" w:rsidP="00000000" w:rsidRDefault="00000000" w:rsidRPr="00000000" w14:paraId="0000001A">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S’intéresser aux autres aspects que la technique. “</w:t>
      </w:r>
      <w:r w:rsidDel="00000000" w:rsidR="00000000" w:rsidRPr="00000000">
        <w:rPr>
          <w:rFonts w:ascii="Titillium Web" w:cs="Titillium Web" w:eastAsia="Titillium Web" w:hAnsi="Titillium Web"/>
          <w:i w:val="1"/>
          <w:rtl w:val="0"/>
        </w:rPr>
        <w:t xml:space="preserve">Alors Amandine, que faire dans la comm?</w:t>
      </w:r>
      <w:r w:rsidDel="00000000" w:rsidR="00000000" w:rsidRPr="00000000">
        <w:rPr>
          <w:rFonts w:ascii="Titillium Web" w:cs="Titillium Web" w:eastAsia="Titillium Web" w:hAnsi="Titillium Web"/>
          <w:rtl w:val="0"/>
        </w:rPr>
        <w:t xml:space="preserve">”</w:t>
      </w:r>
    </w:p>
    <w:p w:rsidR="00000000" w:rsidDel="00000000" w:rsidP="00000000" w:rsidRDefault="00000000" w:rsidRPr="00000000" w14:paraId="0000001B">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Cliché: “</w:t>
      </w:r>
      <w:hyperlink r:id="rId6">
        <w:r w:rsidDel="00000000" w:rsidR="00000000" w:rsidRPr="00000000">
          <w:rPr>
            <w:rFonts w:ascii="Titillium Web" w:cs="Titillium Web" w:eastAsia="Titillium Web" w:hAnsi="Titillium Web"/>
            <w:color w:val="1155cc"/>
            <w:u w:val="single"/>
            <w:rtl w:val="0"/>
          </w:rPr>
          <w:t xml:space="preserve">Dans la publicité</w:t>
        </w:r>
      </w:hyperlink>
      <w:r w:rsidDel="00000000" w:rsidR="00000000" w:rsidRPr="00000000">
        <w:rPr>
          <w:rFonts w:ascii="Titillium Web" w:cs="Titillium Web" w:eastAsia="Titillium Web" w:hAnsi="Titillium Web"/>
          <w:rtl w:val="0"/>
        </w:rPr>
        <w:t xml:space="preserve">” sur youtube.</w:t>
      </w:r>
    </w:p>
    <w:p w:rsidR="00000000" w:rsidDel="00000000" w:rsidP="00000000" w:rsidRDefault="00000000" w:rsidRPr="00000000" w14:paraId="0000001C">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w:t>
      </w:r>
      <w:r w:rsidDel="00000000" w:rsidR="00000000" w:rsidRPr="00000000">
        <w:rPr>
          <w:rFonts w:ascii="Titillium Web" w:cs="Titillium Web" w:eastAsia="Titillium Web" w:hAnsi="Titillium Web"/>
          <w:rtl w:val="0"/>
        </w:rPr>
        <w:t xml:space="preserve">jusqu’auboutiste</w:t>
      </w:r>
      <w:r w:rsidDel="00000000" w:rsidR="00000000" w:rsidRPr="00000000">
        <w:rPr>
          <w:rFonts w:ascii="Titillium Web" w:cs="Titillium Web" w:eastAsia="Titillium Web" w:hAnsi="Titillium Web"/>
          <w:rtl w:val="0"/>
        </w:rPr>
        <w:t xml:space="preserve">” </w:t>
      </w:r>
    </w:p>
    <w:p w:rsidR="00000000" w:rsidDel="00000000" w:rsidP="00000000" w:rsidRDefault="00000000" w:rsidRPr="00000000" w14:paraId="0000001D">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La communication est un moyen, un reflet, est puissante.</w:t>
      </w:r>
    </w:p>
    <w:p w:rsidR="00000000" w:rsidDel="00000000" w:rsidP="00000000" w:rsidRDefault="00000000" w:rsidRPr="00000000" w14:paraId="0000001E">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Agence de com: image de marque, création d’ID graphique, mise en image d’une identité, aspect stratégique (enjeux de recrutement, de vente, plan d’actions…). Déclinaison en création d'outils, de support, d'événements.</w:t>
      </w:r>
    </w:p>
    <w:p w:rsidR="00000000" w:rsidDel="00000000" w:rsidP="00000000" w:rsidRDefault="00000000" w:rsidRPr="00000000" w14:paraId="0000001F">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Passer du modèle vertical vers horizontal (parler à tous les acteurs, pas que le dirigeant…)</w:t>
      </w:r>
    </w:p>
    <w:p w:rsidR="00000000" w:rsidDel="00000000" w:rsidP="00000000" w:rsidRDefault="00000000" w:rsidRPr="00000000" w14:paraId="00000020">
      <w:pPr>
        <w:spacing w:after="240" w:before="240" w:lineRule="auto"/>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Drop shipping =  achat à bas coût + joli site joli marque et le revendre sur le marché européen. </w:t>
      </w:r>
    </w:p>
    <w:p w:rsidR="00000000" w:rsidDel="00000000" w:rsidP="00000000" w:rsidRDefault="00000000" w:rsidRPr="00000000" w14:paraId="00000021">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Com inversement proportionnelle à l’utilité d’un besoin. Cible locale, affiche, répond à un besoin donc moins de stratégie de vente. Faire du tri dans les objectifs pour avoir le nécessaire dans les moyens. Ne pas prendre les demandes comme étant acquises (pas forcément besoin de site internet, de carte de visite,...) :</w:t>
      </w:r>
      <w:r w:rsidDel="00000000" w:rsidR="00000000" w:rsidRPr="00000000">
        <w:rPr>
          <w:rFonts w:ascii="Titillium Web" w:cs="Titillium Web" w:eastAsia="Titillium Web" w:hAnsi="Titillium Web"/>
          <w:rtl w:val="0"/>
        </w:rPr>
        <w:t xml:space="preserve"> </w:t>
      </w:r>
      <w:r w:rsidDel="00000000" w:rsidR="00000000" w:rsidRPr="00000000">
        <w:rPr>
          <w:rFonts w:ascii="Titillium Web" w:cs="Titillium Web" w:eastAsia="Titillium Web" w:hAnsi="Titillium Web"/>
          <w:shd w:fill="fff2cc" w:val="clear"/>
          <w:rtl w:val="0"/>
        </w:rPr>
        <w:t xml:space="preserve">remonter à l’essence du besoin.</w:t>
      </w:r>
      <w:r w:rsidDel="00000000" w:rsidR="00000000" w:rsidRPr="00000000">
        <w:rPr>
          <w:rFonts w:ascii="Titillium Web" w:cs="Titillium Web" w:eastAsia="Titillium Web" w:hAnsi="Titillium Web"/>
          <w:rtl w:val="0"/>
        </w:rPr>
        <w:t xml:space="preserve">Technique des 5 pourquoi. Questionner.</w:t>
      </w:r>
    </w:p>
    <w:p w:rsidR="00000000" w:rsidDel="00000000" w:rsidP="00000000" w:rsidRDefault="00000000" w:rsidRPr="00000000" w14:paraId="00000022">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u w:val="single"/>
          <w:rtl w:val="0"/>
        </w:rPr>
        <w:t xml:space="preserve">ACV de la comm : </w:t>
      </w:r>
      <w:r w:rsidDel="00000000" w:rsidR="00000000" w:rsidRPr="00000000">
        <w:rPr>
          <w:rFonts w:ascii="Titillium Web" w:cs="Titillium Web" w:eastAsia="Titillium Web" w:hAnsi="Titillium Web"/>
          <w:rtl w:val="0"/>
        </w:rPr>
        <w:br w:type="textWrapping"/>
        <w:t xml:space="preserve">Dans l'événementiel, dans le print. outil comme l’ecoliser : outil d’aide à la décision, le chiffre est peu important, c’est le référentiel qui compte.</w:t>
      </w:r>
    </w:p>
    <w:p w:rsidR="00000000" w:rsidDel="00000000" w:rsidP="00000000" w:rsidRDefault="00000000" w:rsidRPr="00000000" w14:paraId="00000023">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br w:type="textWrapping"/>
        <w:t xml:space="preserve">Le + gros impact de la comm est indirect : sur les outils déployés.</w:t>
        <w:br w:type="textWrapping"/>
        <w:br w:type="textWrapping"/>
      </w:r>
      <w:r w:rsidDel="00000000" w:rsidR="00000000" w:rsidRPr="00000000">
        <w:rPr>
          <w:rFonts w:ascii="Titillium Web" w:cs="Titillium Web" w:eastAsia="Titillium Web" w:hAnsi="Titillium Web"/>
          <w:u w:val="single"/>
          <w:rtl w:val="0"/>
        </w:rPr>
        <w:t xml:space="preserve">4 piliers de la comm responsable </w:t>
      </w:r>
      <w:r w:rsidDel="00000000" w:rsidR="00000000" w:rsidRPr="00000000">
        <w:rPr>
          <w:rFonts w:ascii="Titillium Web" w:cs="Titillium Web" w:eastAsia="Titillium Web" w:hAnsi="Titillium Web"/>
          <w:rtl w:val="0"/>
        </w:rPr>
        <w:t xml:space="preserve">: se remettre en question dans son propre métier à la différence de la communication de la responsabilité</w:t>
      </w:r>
      <w:r w:rsidDel="00000000" w:rsidR="00000000" w:rsidRPr="00000000">
        <w:rPr>
          <w:rFonts w:ascii="Titillium Web" w:cs="Titillium Web" w:eastAsia="Titillium Web" w:hAnsi="Titillium Web"/>
          <w:rtl w:val="0"/>
        </w:rPr>
        <w:br w:type="textWrapping"/>
        <w:t xml:space="preserve">- réduction des impacts environnementaux découlant des actions de comm.</w:t>
        <w:br w:type="textWrapping"/>
        <w:t xml:space="preserve">- inclusivité, accessibilité et représentation : ne pas perpétuer des stéréotypes, représenter la diversité, cours de sémiotique ;</w:t>
        <w:br w:type="textWrapping"/>
        <w:t xml:space="preserve">- Travail des imaginaires : de manière consciente ou non aller vers des trajectoires vertueuses.</w:t>
        <w:br w:type="textWrapping"/>
        <w:t xml:space="preserve">- Conception et rédaction des messages avec transparence et justesse : dire ce que les marques ne font pas bien (Veja) : amener de la transparence</w:t>
      </w:r>
      <w:r w:rsidDel="00000000" w:rsidR="00000000" w:rsidRPr="00000000">
        <w:rPr>
          <w:rtl w:val="0"/>
        </w:rPr>
      </w:r>
    </w:p>
    <w:p w:rsidR="00000000" w:rsidDel="00000000" w:rsidP="00000000" w:rsidRDefault="00000000" w:rsidRPr="00000000" w14:paraId="00000024">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b w:val="1"/>
          <w:rtl w:val="0"/>
        </w:rPr>
        <w:t xml:space="preserve">Remettre en question les imaginaires dominants</w:t>
        <w:br w:type="textWrapping"/>
      </w:r>
      <w:r w:rsidDel="00000000" w:rsidR="00000000" w:rsidRPr="00000000">
        <w:rPr>
          <w:rFonts w:ascii="Titillium Web" w:cs="Titillium Web" w:eastAsia="Titillium Web" w:hAnsi="Titillium Web"/>
          <w:rtl w:val="0"/>
        </w:rPr>
        <w:t xml:space="preserve">Dans la pub, relocaliser les images (voiture dans la toundra NON voiture sur une route dans des bouchons, caprice des dieux sur une plage au bout du monde NON dans le vercors c’est mieux!</w:t>
      </w:r>
      <w:r w:rsidDel="00000000" w:rsidR="00000000" w:rsidRPr="00000000">
        <w:rPr>
          <w:rtl w:val="0"/>
        </w:rPr>
      </w:r>
    </w:p>
    <w:p w:rsidR="00000000" w:rsidDel="00000000" w:rsidP="00000000" w:rsidRDefault="00000000" w:rsidRPr="00000000" w14:paraId="00000025">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Actuellement, la crise des imaginaires:  (1984 d’Orwell, Mad Max, Black mirror…) or pour </w:t>
      </w:r>
      <w:r w:rsidDel="00000000" w:rsidR="00000000" w:rsidRPr="00000000">
        <w:rPr>
          <w:rFonts w:ascii="Titillium Web" w:cs="Titillium Web" w:eastAsia="Titillium Web" w:hAnsi="Titillium Web"/>
          <w:b w:val="1"/>
          <w:rtl w:val="0"/>
        </w:rPr>
        <w:t xml:space="preserve">1 récit dystopique</w:t>
      </w:r>
      <w:r w:rsidDel="00000000" w:rsidR="00000000" w:rsidRPr="00000000">
        <w:rPr>
          <w:rFonts w:ascii="Titillium Web" w:cs="Titillium Web" w:eastAsia="Titillium Web" w:hAnsi="Titillium Web"/>
          <w:rtl w:val="0"/>
        </w:rPr>
        <w:t xml:space="preserve"> il faut </w:t>
      </w:r>
      <w:r w:rsidDel="00000000" w:rsidR="00000000" w:rsidRPr="00000000">
        <w:rPr>
          <w:rFonts w:ascii="Titillium Web" w:cs="Titillium Web" w:eastAsia="Titillium Web" w:hAnsi="Titillium Web"/>
          <w:b w:val="1"/>
          <w:rtl w:val="0"/>
        </w:rPr>
        <w:t xml:space="preserve">3 récits utopiques.</w:t>
        <w:br w:type="textWrapping"/>
      </w:r>
      <w:r w:rsidDel="00000000" w:rsidR="00000000" w:rsidRPr="00000000">
        <w:rPr>
          <w:rFonts w:ascii="Titillium Web" w:cs="Titillium Web" w:eastAsia="Titillium Web" w:hAnsi="Titillium Web"/>
          <w:rtl w:val="0"/>
        </w:rPr>
        <w:t xml:space="preserve">Les récits dystopiques enferment l’imagination et la projection vers des trajectoires désirables.</w:t>
      </w:r>
    </w:p>
    <w:p w:rsidR="00000000" w:rsidDel="00000000" w:rsidP="00000000" w:rsidRDefault="00000000" w:rsidRPr="00000000" w14:paraId="00000026">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“Si la rationalité scientifique suffisait, on aurait déjà effectué la transition”</w:t>
      </w:r>
    </w:p>
    <w:p w:rsidR="00000000" w:rsidDel="00000000" w:rsidP="00000000" w:rsidRDefault="00000000" w:rsidRPr="00000000" w14:paraId="00000027">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-&gt; Lançons la bataille des imaginaires: (Don't Look Up, l’An 01, Les furtifs).</w:t>
      </w:r>
    </w:p>
    <w:p w:rsidR="00000000" w:rsidDel="00000000" w:rsidP="00000000" w:rsidRDefault="00000000" w:rsidRPr="00000000" w14:paraId="00000028">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-&gt; Gogogo la com: Patagonia, Backmarket</w:t>
      </w:r>
    </w:p>
    <w:p w:rsidR="00000000" w:rsidDel="00000000" w:rsidP="00000000" w:rsidRDefault="00000000" w:rsidRPr="00000000" w14:paraId="00000029">
      <w:pPr>
        <w:spacing w:after="240" w:before="240" w:lineRule="auto"/>
        <w:ind w:left="0" w:firstLine="0"/>
        <w:jc w:val="both"/>
        <w:rPr>
          <w:rFonts w:ascii="Titillium Web Light" w:cs="Titillium Web Light" w:eastAsia="Titillium Web Light" w:hAnsi="Titillium Web Light"/>
          <w:sz w:val="21"/>
          <w:szCs w:val="21"/>
          <w:highlight w:val="white"/>
        </w:rPr>
      </w:pPr>
      <w:r w:rsidDel="00000000" w:rsidR="00000000" w:rsidRPr="00000000">
        <w:rPr>
          <w:rtl w:val="0"/>
        </w:rPr>
      </w:r>
    </w:p>
    <w:p w:rsidR="00000000" w:rsidDel="00000000" w:rsidP="00000000" w:rsidRDefault="00000000" w:rsidRPr="00000000" w14:paraId="0000002A">
      <w:pPr>
        <w:spacing w:after="240" w:before="240" w:lineRule="auto"/>
        <w:ind w:left="0" w:firstLine="0"/>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Rétrospective sur le low-tech Lab:</w:t>
      </w:r>
    </w:p>
    <w:p w:rsidR="00000000" w:rsidDel="00000000" w:rsidP="00000000" w:rsidRDefault="00000000" w:rsidRPr="00000000" w14:paraId="0000002B">
      <w:pPr>
        <w:numPr>
          <w:ilvl w:val="0"/>
          <w:numId w:val="1"/>
        </w:numPr>
        <w:spacing w:after="0" w:afterAutospacing="0" w:before="240" w:line="240" w:lineRule="auto"/>
        <w:ind w:left="72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Faire rêver, éveiller l’inconfort</w:t>
      </w:r>
    </w:p>
    <w:p w:rsidR="00000000" w:rsidDel="00000000" w:rsidP="00000000" w:rsidRDefault="00000000" w:rsidRPr="00000000" w14:paraId="0000002C">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Faire rêver (avec film, podcasts, livres)</w:t>
      </w:r>
    </w:p>
    <w:p w:rsidR="00000000" w:rsidDel="00000000" w:rsidP="00000000" w:rsidRDefault="00000000" w:rsidRPr="00000000" w14:paraId="0000002D">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Éveiller l’inconfort, la frustration</w:t>
      </w:r>
    </w:p>
    <w:p w:rsidR="00000000" w:rsidDel="00000000" w:rsidP="00000000" w:rsidRDefault="00000000" w:rsidRPr="00000000" w14:paraId="0000002E">
      <w:pPr>
        <w:numPr>
          <w:ilvl w:val="0"/>
          <w:numId w:val="1"/>
        </w:numPr>
        <w:spacing w:after="0" w:afterAutospacing="0" w:before="0" w:beforeAutospacing="0" w:line="240" w:lineRule="auto"/>
        <w:ind w:left="72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Des solutions concrètes et accessible</w:t>
      </w:r>
    </w:p>
    <w:p w:rsidR="00000000" w:rsidDel="00000000" w:rsidP="00000000" w:rsidRDefault="00000000" w:rsidRPr="00000000" w14:paraId="0000002F">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Partager ces solutions</w:t>
      </w:r>
    </w:p>
    <w:p w:rsidR="00000000" w:rsidDel="00000000" w:rsidP="00000000" w:rsidRDefault="00000000" w:rsidRPr="00000000" w14:paraId="00000030">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Embarquer le collectif</w:t>
      </w:r>
    </w:p>
    <w:p w:rsidR="00000000" w:rsidDel="00000000" w:rsidP="00000000" w:rsidRDefault="00000000" w:rsidRPr="00000000" w14:paraId="00000031">
      <w:pPr>
        <w:numPr>
          <w:ilvl w:val="0"/>
          <w:numId w:val="1"/>
        </w:numPr>
        <w:spacing w:after="0" w:afterAutospacing="0" w:before="0" w:beforeAutospacing="0" w:line="240" w:lineRule="auto"/>
        <w:ind w:left="72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Passer au collectif</w:t>
      </w:r>
    </w:p>
    <w:p w:rsidR="00000000" w:rsidDel="00000000" w:rsidP="00000000" w:rsidRDefault="00000000" w:rsidRPr="00000000" w14:paraId="00000032">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Sortir progressivement de l’approche individuelle pour embarquer dans le collectif</w:t>
      </w:r>
    </w:p>
    <w:p w:rsidR="00000000" w:rsidDel="00000000" w:rsidP="00000000" w:rsidRDefault="00000000" w:rsidRPr="00000000" w14:paraId="00000033">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Passer à l’échelle embarquer le collectif</w:t>
        <w:br w:type="textWrapping"/>
      </w:r>
      <w:r w:rsidDel="00000000" w:rsidR="00000000" w:rsidRPr="00000000">
        <w:rPr>
          <w:rFonts w:ascii="Titillium Web" w:cs="Titillium Web" w:eastAsia="Titillium Web" w:hAnsi="Titillium Web"/>
          <w:rtl w:val="0"/>
        </w:rPr>
        <w:t xml:space="preserve">L’approche low tech peut ne pas être qu’un modèle alternatif</w:t>
        <w:br w:type="textWrapping"/>
        <w:t xml:space="preserve">Des méthodologies d’actions, des politiques publiques</w:t>
      </w:r>
    </w:p>
    <w:p w:rsidR="00000000" w:rsidDel="00000000" w:rsidP="00000000" w:rsidRDefault="00000000" w:rsidRPr="00000000" w14:paraId="00000034">
      <w:pPr>
        <w:numPr>
          <w:ilvl w:val="0"/>
          <w:numId w:val="1"/>
        </w:numPr>
        <w:spacing w:after="0" w:afterAutospacing="0" w:before="0" w:beforeAutospacing="0" w:line="240" w:lineRule="auto"/>
        <w:ind w:left="72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La rationalité et la technique ne suffisent pas à faire changer les mentalités. Mais le bon sens est un prérequis.</w:t>
      </w:r>
    </w:p>
    <w:p w:rsidR="00000000" w:rsidDel="00000000" w:rsidP="00000000" w:rsidRDefault="00000000" w:rsidRPr="00000000" w14:paraId="00000035">
      <w:pPr>
        <w:numPr>
          <w:ilvl w:val="0"/>
          <w:numId w:val="1"/>
        </w:numPr>
        <w:spacing w:after="0" w:afterAutospacing="0" w:before="0" w:beforeAutospacing="0" w:line="240" w:lineRule="auto"/>
        <w:ind w:left="72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Donner l’envie et les moyens</w:t>
      </w:r>
    </w:p>
    <w:p w:rsidR="00000000" w:rsidDel="00000000" w:rsidP="00000000" w:rsidRDefault="00000000" w:rsidRPr="00000000" w14:paraId="00000036">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Questionner les besoins</w:t>
      </w:r>
    </w:p>
    <w:p w:rsidR="00000000" w:rsidDel="00000000" w:rsidP="00000000" w:rsidRDefault="00000000" w:rsidRPr="00000000" w14:paraId="00000037">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Vulgariser les pratiques, les enjeux</w:t>
      </w:r>
    </w:p>
    <w:p w:rsidR="00000000" w:rsidDel="00000000" w:rsidP="00000000" w:rsidRDefault="00000000" w:rsidRPr="00000000" w14:paraId="00000038">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oeuvrer dans une logique globale, systémique : décloisonner</w:t>
      </w:r>
    </w:p>
    <w:p w:rsidR="00000000" w:rsidDel="00000000" w:rsidP="00000000" w:rsidRDefault="00000000" w:rsidRPr="00000000" w14:paraId="00000039">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être juste sur les ordres de grandeurs</w:t>
      </w:r>
    </w:p>
    <w:p w:rsidR="00000000" w:rsidDel="00000000" w:rsidP="00000000" w:rsidRDefault="00000000" w:rsidRPr="00000000" w14:paraId="0000003A">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apporter les preuves</w:t>
      </w:r>
    </w:p>
    <w:p w:rsidR="00000000" w:rsidDel="00000000" w:rsidP="00000000" w:rsidRDefault="00000000" w:rsidRPr="00000000" w14:paraId="0000003B">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documenter les démarches : transparence et réplicabilité</w:t>
      </w:r>
    </w:p>
    <w:p w:rsidR="00000000" w:rsidDel="00000000" w:rsidP="00000000" w:rsidRDefault="00000000" w:rsidRPr="00000000" w14:paraId="0000003C">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projeter les usages concrètement</w:t>
      </w:r>
    </w:p>
    <w:p w:rsidR="00000000" w:rsidDel="00000000" w:rsidP="00000000" w:rsidRDefault="00000000" w:rsidRPr="00000000" w14:paraId="0000003D">
      <w:pPr>
        <w:numPr>
          <w:ilvl w:val="1"/>
          <w:numId w:val="1"/>
        </w:numPr>
        <w:spacing w:after="0" w:afterAutospacing="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varier les argumentaires : économiques, usages, conforts,culture,..</w:t>
      </w:r>
    </w:p>
    <w:p w:rsidR="00000000" w:rsidDel="00000000" w:rsidP="00000000" w:rsidRDefault="00000000" w:rsidRPr="00000000" w14:paraId="0000003E">
      <w:pPr>
        <w:numPr>
          <w:ilvl w:val="1"/>
          <w:numId w:val="1"/>
        </w:numPr>
        <w:spacing w:after="240" w:before="0" w:beforeAutospacing="0" w:line="240" w:lineRule="auto"/>
        <w:ind w:left="1440" w:hanging="360"/>
        <w:jc w:val="both"/>
        <w:rPr>
          <w:rFonts w:ascii="Titillium Web Light" w:cs="Titillium Web Light" w:eastAsia="Titillium Web Light" w:hAnsi="Titillium Web Light"/>
          <w:sz w:val="21"/>
          <w:szCs w:val="21"/>
          <w:highlight w:val="white"/>
          <w:u w:val="none"/>
        </w:rPr>
      </w:pPr>
      <w:r w:rsidDel="00000000" w:rsidR="00000000" w:rsidRPr="00000000">
        <w:rPr>
          <w:rFonts w:ascii="Titillium Web" w:cs="Titillium Web" w:eastAsia="Titillium Web" w:hAnsi="Titillium Web"/>
          <w:rtl w:val="0"/>
        </w:rPr>
        <w:t xml:space="preserve">Sortir du cloisonnement des services ( question sur la taille de l’entreprise ?)</w:t>
      </w:r>
    </w:p>
    <w:p w:rsidR="00000000" w:rsidDel="00000000" w:rsidP="00000000" w:rsidRDefault="00000000" w:rsidRPr="00000000" w14:paraId="0000003F">
      <w:pPr>
        <w:spacing w:after="240" w:before="240" w:line="240" w:lineRule="auto"/>
        <w:ind w:left="0" w:firstLine="0"/>
        <w:jc w:val="both"/>
        <w:rPr>
          <w:rFonts w:ascii="Titillium Web Light" w:cs="Titillium Web Light" w:eastAsia="Titillium Web Light" w:hAnsi="Titillium Web Light"/>
          <w:sz w:val="21"/>
          <w:szCs w:val="21"/>
          <w:highlight w:val="whit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Titillium Web" w:cs="Titillium Web" w:eastAsia="Titillium Web" w:hAnsi="Titillium Web"/>
          <w:shd w:fill="fff2cc" w:val="clear"/>
        </w:rPr>
      </w:pPr>
      <w:r w:rsidDel="00000000" w:rsidR="00000000" w:rsidRPr="00000000">
        <w:rPr>
          <w:rFonts w:ascii="Nova Mono" w:cs="Nova Mono" w:eastAsia="Nova Mono" w:hAnsi="Nova Mono"/>
          <w:shd w:fill="fff2cc" w:val="clear"/>
          <w:rtl w:val="0"/>
        </w:rPr>
        <w:t xml:space="preserve">Comment faire un tuto vidéo sur le site du low-tech lab → utile pour voyage concarneau</w:t>
        <w:br w:type="textWrapping"/>
      </w: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tillium Web">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tillium Web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va Mono">
    <w:embedRegular w:fontKey="{00000000-0000-0000-0000-000000000000}" r:id="rId9"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-590549</wp:posOffset>
          </wp:positionH>
          <wp:positionV relativeFrom="paragraph">
            <wp:posOffset>-228599</wp:posOffset>
          </wp:positionV>
          <wp:extent cx="916592" cy="461963"/>
          <wp:effectExtent b="0" l="0" r="0" t="0"/>
          <wp:wrapNone/>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916592" cy="461963"/>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4762500</wp:posOffset>
          </wp:positionH>
          <wp:positionV relativeFrom="paragraph">
            <wp:posOffset>-133349</wp:posOffset>
          </wp:positionV>
          <wp:extent cx="1452324" cy="271463"/>
          <wp:effectExtent b="0" l="0" r="0" t="0"/>
          <wp:wrapNone/>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452324" cy="2714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f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youtube.com/watch?v=_zIQWRgRCoI" TargetMode="Externa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itilliumWeb-regular.ttf"/><Relationship Id="rId2" Type="http://schemas.openxmlformats.org/officeDocument/2006/relationships/font" Target="fonts/TitilliumWeb-bold.ttf"/><Relationship Id="rId3" Type="http://schemas.openxmlformats.org/officeDocument/2006/relationships/font" Target="fonts/TitilliumWeb-italic.ttf"/><Relationship Id="rId4" Type="http://schemas.openxmlformats.org/officeDocument/2006/relationships/font" Target="fonts/TitilliumWeb-boldItalic.ttf"/><Relationship Id="rId9" Type="http://schemas.openxmlformats.org/officeDocument/2006/relationships/font" Target="fonts/NovaMono-regular.ttf"/><Relationship Id="rId5" Type="http://schemas.openxmlformats.org/officeDocument/2006/relationships/font" Target="fonts/TitilliumWebLight-regular.ttf"/><Relationship Id="rId6" Type="http://schemas.openxmlformats.org/officeDocument/2006/relationships/font" Target="fonts/TitilliumWebLight-bold.ttf"/><Relationship Id="rId7" Type="http://schemas.openxmlformats.org/officeDocument/2006/relationships/font" Target="fonts/TitilliumWebLight-italic.ttf"/><Relationship Id="rId8" Type="http://schemas.openxmlformats.org/officeDocument/2006/relationships/font" Target="fonts/TitilliumWeb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